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5B3A2B" w:rsidRPr="0049282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B3A2B" w:rsidRPr="00492822" w:rsidRDefault="005B3A2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B3A2B" w:rsidRPr="00C3047E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5B3A2B" w:rsidRPr="00C3047E" w:rsidRDefault="005B3A2B" w:rsidP="00154F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B3A2B" w:rsidRPr="00492822" w:rsidRDefault="005B3A2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A2B" w:rsidRPr="0049282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B3A2B" w:rsidRPr="00492822" w:rsidRDefault="005B3A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B3A2B" w:rsidRPr="00C3047E" w:rsidRDefault="005B3A2B" w:rsidP="0032798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 w:rsidR="0011798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B3A2B" w:rsidRPr="00492822" w:rsidRDefault="005B3A2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3A2B" w:rsidRPr="00492822" w:rsidTr="00492822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A2B" w:rsidRPr="00492822" w:rsidRDefault="005B3A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5B3A2B" w:rsidRPr="00C3047E" w:rsidRDefault="005B3A2B" w:rsidP="0032798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5B3A2B" w:rsidRPr="00C3047E" w:rsidRDefault="005B3A2B" w:rsidP="0032798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B3A2B" w:rsidRPr="00492822" w:rsidRDefault="005B3A2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3A2B" w:rsidRPr="0049282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B3A2B" w:rsidRPr="005B3A2B" w:rsidRDefault="005B3A2B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5B3A2B" w:rsidRPr="005B3A2B" w:rsidRDefault="00154F48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FORENSIC MEDICINE</w:t>
            </w:r>
          </w:p>
        </w:tc>
      </w:tr>
      <w:tr w:rsidR="005B3A2B" w:rsidRPr="0049282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5B3A2B" w:rsidRDefault="005B3A2B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B3A2B" w:rsidRPr="005B3A2B" w:rsidRDefault="0011798C" w:rsidP="00FF1CD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Surgery department,</w:t>
            </w:r>
            <w:r w:rsidR="00F24FF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Faculty of Medicine in Foc</w:t>
            </w:r>
            <w:r w:rsidR="005B3A2B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5B3A2B" w:rsidRPr="0049282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B3A2B" w:rsidRPr="005B3A2B" w:rsidRDefault="005B3A2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B3A2B" w:rsidRPr="005B3A2B" w:rsidRDefault="005B3A2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3A2B" w:rsidRPr="005B3A2B" w:rsidRDefault="005B3A2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3A2B" w:rsidRPr="00492822" w:rsidRDefault="005B3A2B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B3A2B" w:rsidRPr="0049282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92822" w:rsidRDefault="005B3A2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92822" w:rsidRDefault="005B3A2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92822" w:rsidRDefault="005B3A2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92822" w:rsidRDefault="005B3A2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B3A2B" w:rsidRPr="0049282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5B3A2B" w:rsidRPr="00492822" w:rsidRDefault="005B3A2B" w:rsidP="00D303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492822">
              <w:rPr>
                <w:rFonts w:ascii="Arial Narrow" w:hAnsi="Arial Narrow"/>
                <w:sz w:val="20"/>
                <w:szCs w:val="20"/>
              </w:rPr>
              <w:t>0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D30380">
              <w:rPr>
                <w:rFonts w:ascii="Arial Narrow" w:hAnsi="Arial Narrow"/>
                <w:sz w:val="20"/>
                <w:szCs w:val="20"/>
              </w:rPr>
              <w:t>1</w:t>
            </w:r>
            <w:r w:rsidRPr="00492822">
              <w:rPr>
                <w:rFonts w:ascii="Arial Narrow" w:hAnsi="Arial Narrow"/>
                <w:sz w:val="20"/>
                <w:szCs w:val="20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B3A2B" w:rsidRPr="005B3A2B" w:rsidRDefault="005B3A2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B3A2B" w:rsidRPr="00492822" w:rsidRDefault="005B3A2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B3A2B" w:rsidRPr="00492822" w:rsidRDefault="005B3A2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5B3A2B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3A2B" w:rsidRPr="00CF6D64" w:rsidRDefault="005B3A2B" w:rsidP="0032798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5B3A2B" w:rsidRPr="00492822" w:rsidRDefault="00D30380" w:rsidP="00D3038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Associate professor Dragan Ječmenica MD, PhD, Associate professor Snežana Pavlekić MD, PhD; Associate professor Zoran Mihailović MD, PhD</w:t>
            </w:r>
          </w:p>
        </w:tc>
      </w:tr>
      <w:tr w:rsidR="005B3A2B" w:rsidRPr="0049282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CF6D64" w:rsidRDefault="005B3A2B" w:rsidP="0032798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3A2B" w:rsidRPr="00492822" w:rsidRDefault="0011798C" w:rsidP="00D3038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30380">
              <w:rPr>
                <w:rFonts w:ascii="Arial Narrow" w:hAnsi="Arial Narrow" w:cs="Times New Roman"/>
                <w:sz w:val="20"/>
                <w:szCs w:val="20"/>
              </w:rPr>
              <w:t>Senior assistant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B3A2B">
              <w:rPr>
                <w:rFonts w:ascii="Arial Narrow" w:hAnsi="Arial Narrow" w:cs="Times New Roman"/>
                <w:sz w:val="20"/>
                <w:szCs w:val="20"/>
              </w:rPr>
              <w:t>Boris Pejić</w:t>
            </w:r>
            <w:r w:rsidR="005B3A2B" w:rsidRPr="0049282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5B3A2B">
              <w:rPr>
                <w:rFonts w:ascii="Arial Narrow" w:hAnsi="Arial Narrow" w:cs="Times New Roman"/>
                <w:sz w:val="20"/>
                <w:szCs w:val="20"/>
              </w:rPr>
              <w:t xml:space="preserve"> MD</w:t>
            </w:r>
            <w:r w:rsidR="005B3A2B" w:rsidRPr="0049282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5B3A2B" w:rsidRPr="0049282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867A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11798C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867A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867A1" w:rsidRDefault="0011798C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5B3A2B" w:rsidRPr="0049282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B3A2B" w:rsidRPr="009A1CDA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B3A2B" w:rsidRPr="004867A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B3A2B" w:rsidRPr="00667A0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B3A2B" w:rsidRPr="009A1CDA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B3A2B" w:rsidRPr="009A1CDA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B3A2B" w:rsidRPr="00667A0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B3A2B" w:rsidRPr="004867A1" w:rsidRDefault="005B3A2B" w:rsidP="0032798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B3A2B" w:rsidRPr="00492822" w:rsidTr="00BB3616">
        <w:tc>
          <w:tcPr>
            <w:tcW w:w="1242" w:type="dxa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B3A2B" w:rsidRPr="00492822" w:rsidRDefault="005B3A2B" w:rsidP="0049282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B3A2B" w:rsidRPr="0049282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A2B" w:rsidRPr="00492822" w:rsidRDefault="005B3A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5B3A2B" w:rsidRPr="00492822" w:rsidRDefault="005B3A2B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 + 2*15*1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</w:tr>
      <w:tr w:rsidR="005B3A2B" w:rsidRPr="0049282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A2B" w:rsidRPr="005B3A2B" w:rsidRDefault="005B3A2B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 xml:space="preserve"> hours per semester</w:t>
            </w:r>
          </w:p>
        </w:tc>
      </w:tr>
      <w:tr w:rsidR="005B3A2B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3A2B" w:rsidRPr="005B3A2B" w:rsidRDefault="005B3A2B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5B3A2B" w:rsidRPr="007F7193" w:rsidRDefault="005B3A2B" w:rsidP="00FF1CD0">
            <w:pPr>
              <w:rPr>
                <w:rFonts w:ascii="Arial Narrow" w:hAnsi="Arial Narrow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7193">
              <w:rPr>
                <w:rFonts w:ascii="Arial Narrow" w:hAnsi="Arial Narrow"/>
                <w:sz w:val="20"/>
                <w:szCs w:val="20"/>
              </w:rPr>
              <w:t>The student acquires knowledge of  the scientific study of death; injuries</w:t>
            </w:r>
          </w:p>
          <w:p w:rsidR="005B3A2B" w:rsidRPr="007F7193" w:rsidRDefault="005B3A2B" w:rsidP="00FF1CD0">
            <w:pPr>
              <w:rPr>
                <w:rFonts w:ascii="Arial Narrow" w:hAnsi="Arial Narrow"/>
                <w:sz w:val="20"/>
                <w:szCs w:val="20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="007F7193">
              <w:rPr>
                <w:rFonts w:ascii="Arial Narrow" w:hAnsi="Arial Narrow"/>
                <w:sz w:val="20"/>
                <w:szCs w:val="20"/>
              </w:rPr>
              <w:t>The student acquires knowledge of t</w:t>
            </w:r>
            <w:r w:rsidR="0011798C">
              <w:rPr>
                <w:rFonts w:ascii="Arial Narrow" w:hAnsi="Arial Narrow"/>
                <w:sz w:val="20"/>
                <w:szCs w:val="20"/>
              </w:rPr>
              <w:t>he relationship between diseases and injuries</w:t>
            </w:r>
            <w:r w:rsidR="007F719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7F7193" w:rsidRDefault="005B3A2B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7193">
              <w:rPr>
                <w:rFonts w:ascii="Arial Narrow" w:hAnsi="Arial Narrow"/>
                <w:sz w:val="20"/>
                <w:szCs w:val="20"/>
              </w:rPr>
              <w:t>The student acquires knowledge of medical records; identification</w:t>
            </w:r>
          </w:p>
          <w:p w:rsidR="005B3A2B" w:rsidRPr="00492822" w:rsidRDefault="005B3A2B" w:rsidP="00DD2E6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7193">
              <w:rPr>
                <w:rFonts w:ascii="Arial Narrow" w:hAnsi="Arial Narrow"/>
                <w:sz w:val="20"/>
                <w:szCs w:val="20"/>
              </w:rPr>
              <w:t>The student acquires k</w:t>
            </w:r>
            <w:r w:rsidR="00A95395">
              <w:rPr>
                <w:rFonts w:ascii="Arial Narrow" w:hAnsi="Arial Narrow"/>
                <w:sz w:val="20"/>
                <w:szCs w:val="20"/>
              </w:rPr>
              <w:t>nowledge of the role of forensic expert</w:t>
            </w:r>
            <w:r w:rsidR="0011798C">
              <w:rPr>
                <w:rFonts w:ascii="Arial Narrow" w:hAnsi="Arial Narrow"/>
                <w:sz w:val="20"/>
                <w:szCs w:val="20"/>
              </w:rPr>
              <w:t>s</w:t>
            </w:r>
            <w:r w:rsidR="00A95395">
              <w:rPr>
                <w:rFonts w:ascii="Arial Narrow" w:hAnsi="Arial Narrow"/>
                <w:sz w:val="20"/>
                <w:szCs w:val="20"/>
              </w:rPr>
              <w:t>, experts and witness</w:t>
            </w:r>
            <w:r w:rsidR="0011798C">
              <w:rPr>
                <w:rFonts w:ascii="Arial Narrow" w:hAnsi="Arial Narrow"/>
                <w:sz w:val="20"/>
                <w:szCs w:val="20"/>
              </w:rPr>
              <w:t>es</w:t>
            </w:r>
            <w:r w:rsidR="00A95395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5B3A2B" w:rsidRPr="00A95395" w:rsidRDefault="005B3A2B" w:rsidP="00FF1CD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95395">
              <w:rPr>
                <w:rFonts w:ascii="Arial Narrow" w:hAnsi="Arial Narrow"/>
                <w:sz w:val="20"/>
                <w:szCs w:val="20"/>
              </w:rPr>
              <w:t xml:space="preserve">The student acquires knowledge of criminal acts associated with medical profession. </w:t>
            </w:r>
          </w:p>
        </w:tc>
      </w:tr>
      <w:tr w:rsidR="005B3A2B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3A2B" w:rsidRPr="009A1CDA" w:rsidRDefault="005B3A2B" w:rsidP="0032798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5B3A2B" w:rsidRPr="00AC1582" w:rsidRDefault="005B3A2B" w:rsidP="003279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5 exams passed</w:t>
            </w:r>
          </w:p>
        </w:tc>
      </w:tr>
      <w:tr w:rsidR="005B3A2B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3A2B" w:rsidRPr="005B3A2B" w:rsidRDefault="005B3A2B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5B3A2B" w:rsidRPr="00492822" w:rsidRDefault="00E95794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Theoretical lectures</w:t>
            </w:r>
            <w:r w:rsidR="005B3A2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5B3A2B">
              <w:rPr>
                <w:rFonts w:ascii="Arial Narrow" w:hAnsi="Arial Narrow"/>
                <w:sz w:val="20"/>
                <w:szCs w:val="20"/>
              </w:rPr>
              <w:t>Exercises</w:t>
            </w:r>
            <w:r w:rsidR="005B3A2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5B3A2B">
              <w:rPr>
                <w:rFonts w:ascii="Arial Narrow" w:hAnsi="Arial Narrow"/>
                <w:sz w:val="20"/>
                <w:szCs w:val="20"/>
              </w:rPr>
              <w:t>Seminar papers</w:t>
            </w:r>
            <w:r w:rsidR="005B3A2B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 Т</w:t>
            </w:r>
            <w:r w:rsidR="005B3A2B">
              <w:rPr>
                <w:rFonts w:ascii="Arial Narrow" w:hAnsi="Arial Narrow"/>
                <w:sz w:val="20"/>
                <w:szCs w:val="20"/>
              </w:rPr>
              <w:t>ests</w:t>
            </w:r>
            <w:r w:rsidR="005B3A2B" w:rsidRPr="0049282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 w:rsidR="005B3A2B" w:rsidRPr="00492822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5B3A2B" w:rsidRPr="0049282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492822" w:rsidRDefault="005B3A2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3A2B" w:rsidRPr="00331291" w:rsidRDefault="005B3A2B" w:rsidP="004114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b/>
                <w:sz w:val="20"/>
                <w:szCs w:val="20"/>
              </w:rPr>
              <w:t>Lecturers</w:t>
            </w:r>
          </w:p>
          <w:p w:rsidR="0011798C" w:rsidRPr="00331291" w:rsidRDefault="0011798C" w:rsidP="004114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2C5133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2C5133" w:rsidRPr="00331291">
              <w:rPr>
                <w:rFonts w:ascii="Arial Narrow" w:hAnsi="Arial Narrow"/>
                <w:sz w:val="20"/>
                <w:szCs w:val="20"/>
              </w:rPr>
              <w:t>Introduction to forensic medicine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2C5133" w:rsidRPr="00331291">
              <w:rPr>
                <w:rFonts w:ascii="Arial Narrow" w:hAnsi="Arial Narrow"/>
                <w:sz w:val="20"/>
                <w:szCs w:val="20"/>
              </w:rPr>
              <w:t xml:space="preserve">History of forensic medicine. </w:t>
            </w:r>
            <w:r w:rsidR="0011798C" w:rsidRPr="00331291">
              <w:rPr>
                <w:rFonts w:ascii="Arial Narrow" w:hAnsi="Arial Narrow"/>
                <w:sz w:val="20"/>
                <w:szCs w:val="20"/>
              </w:rPr>
              <w:t>Basics of</w:t>
            </w:r>
            <w:r w:rsidR="005916CC">
              <w:rPr>
                <w:rFonts w:ascii="Arial Narrow" w:hAnsi="Arial Narrow"/>
                <w:sz w:val="20"/>
                <w:szCs w:val="20"/>
              </w:rPr>
              <w:t xml:space="preserve"> autopsy;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C5133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Т</w:t>
            </w:r>
            <w:r w:rsidR="002C5133" w:rsidRPr="00331291">
              <w:rPr>
                <w:rFonts w:ascii="Arial Narrow" w:hAnsi="Arial Narrow"/>
                <w:sz w:val="20"/>
                <w:szCs w:val="20"/>
              </w:rPr>
              <w:t>hanatology</w:t>
            </w:r>
            <w:r w:rsidR="002C5133" w:rsidRPr="00331291">
              <w:rPr>
                <w:rFonts w:ascii="Arial Narrow" w:hAnsi="Arial Narrow"/>
                <w:sz w:val="20"/>
                <w:szCs w:val="20"/>
                <w:lang w:val="ru-RU"/>
              </w:rPr>
              <w:t>. А</w:t>
            </w:r>
            <w:r w:rsidR="002C5133" w:rsidRPr="00331291">
              <w:rPr>
                <w:rFonts w:ascii="Arial Narrow" w:hAnsi="Arial Narrow"/>
                <w:sz w:val="20"/>
                <w:szCs w:val="20"/>
              </w:rPr>
              <w:t>gony</w:t>
            </w:r>
            <w:r w:rsidR="002C5133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2C5133" w:rsidRPr="00331291">
              <w:rPr>
                <w:rFonts w:ascii="Arial Narrow" w:hAnsi="Arial Narrow"/>
                <w:sz w:val="20"/>
                <w:szCs w:val="20"/>
              </w:rPr>
              <w:t>Death</w:t>
            </w:r>
            <w:r w:rsidR="00E95794" w:rsidRPr="0033129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  <w:r w:rsidR="00E95794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916CC">
              <w:rPr>
                <w:rFonts w:ascii="Arial Narrow" w:hAnsi="Arial Narrow"/>
                <w:sz w:val="20"/>
                <w:szCs w:val="20"/>
              </w:rPr>
              <w:t>The premortal phase;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70D09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E70D09" w:rsidRPr="00331291">
              <w:rPr>
                <w:rFonts w:ascii="Arial Narrow" w:hAnsi="Arial Narrow"/>
                <w:sz w:val="20"/>
                <w:szCs w:val="20"/>
              </w:rPr>
              <w:t xml:space="preserve">The characteristics and changes of a dead body. </w:t>
            </w:r>
            <w:r w:rsidR="001C0770" w:rsidRPr="00331291">
              <w:rPr>
                <w:rFonts w:ascii="Arial Narrow" w:hAnsi="Arial Narrow"/>
                <w:sz w:val="20"/>
                <w:szCs w:val="20"/>
              </w:rPr>
              <w:t>Determining the time and cause of death.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916CC">
              <w:rPr>
                <w:rFonts w:ascii="Arial Narrow" w:hAnsi="Arial Narrow"/>
                <w:sz w:val="20"/>
                <w:szCs w:val="20"/>
              </w:rPr>
              <w:t xml:space="preserve"> Natural and violent death;</w:t>
            </w:r>
            <w:r w:rsidR="001C0770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1C0770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Ме</w:t>
            </w:r>
            <w:r w:rsidR="001C0770" w:rsidRPr="00331291">
              <w:rPr>
                <w:rFonts w:ascii="Arial Narrow" w:hAnsi="Arial Narrow"/>
                <w:sz w:val="20"/>
                <w:szCs w:val="20"/>
              </w:rPr>
              <w:t>chanical injuries</w:t>
            </w:r>
            <w:r w:rsidR="001C0770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5916CC">
              <w:rPr>
                <w:rFonts w:ascii="Arial Narrow" w:hAnsi="Arial Narrow"/>
                <w:sz w:val="20"/>
                <w:szCs w:val="20"/>
              </w:rPr>
              <w:t>Injuries and wounds;</w:t>
            </w:r>
            <w:r w:rsidR="001C0770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A0275C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825747" w:rsidRPr="00331291">
              <w:rPr>
                <w:rFonts w:ascii="Arial Narrow" w:hAnsi="Arial Narrow"/>
                <w:sz w:val="20"/>
                <w:szCs w:val="20"/>
              </w:rPr>
              <w:t>Firearm and explosive</w:t>
            </w:r>
            <w:r w:rsidR="005916CC">
              <w:rPr>
                <w:rFonts w:ascii="Arial Narrow" w:hAnsi="Arial Narrow"/>
                <w:sz w:val="20"/>
                <w:szCs w:val="20"/>
              </w:rPr>
              <w:t xml:space="preserve"> injuries. Nutritional injuries;</w:t>
            </w:r>
          </w:p>
          <w:p w:rsidR="005B3A2B" w:rsidRPr="005916CC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A0275C" w:rsidRPr="00331291">
              <w:rPr>
                <w:rFonts w:ascii="Arial Narrow" w:hAnsi="Arial Narrow"/>
                <w:sz w:val="20"/>
                <w:szCs w:val="20"/>
              </w:rPr>
              <w:t xml:space="preserve"> Physical injuries. Asphyxia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5B3A2B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743194" w:rsidRPr="00331291">
              <w:rPr>
                <w:rFonts w:ascii="Arial Narrow" w:hAnsi="Arial Narrow"/>
                <w:sz w:val="20"/>
                <w:szCs w:val="20"/>
              </w:rPr>
              <w:t>F</w:t>
            </w:r>
            <w:r w:rsidR="00A0275C" w:rsidRPr="00331291">
              <w:rPr>
                <w:rFonts w:ascii="Arial Narrow" w:hAnsi="Arial Narrow"/>
                <w:sz w:val="20"/>
                <w:szCs w:val="20"/>
              </w:rPr>
              <w:t xml:space="preserve">orensic importance of head and spinal cord injury. </w:t>
            </w:r>
            <w:r w:rsidR="00743194" w:rsidRPr="00331291">
              <w:rPr>
                <w:rFonts w:ascii="Arial Narrow" w:hAnsi="Arial Narrow"/>
                <w:sz w:val="20"/>
                <w:szCs w:val="20"/>
              </w:rPr>
              <w:t>F</w:t>
            </w:r>
            <w:r w:rsidR="00D6068C" w:rsidRPr="00331291">
              <w:rPr>
                <w:rFonts w:ascii="Arial Narrow" w:hAnsi="Arial Narrow"/>
                <w:sz w:val="20"/>
                <w:szCs w:val="20"/>
              </w:rPr>
              <w:t xml:space="preserve">orensic medical importance of </w:t>
            </w:r>
            <w:r w:rsidR="00A0275C" w:rsidRPr="00331291">
              <w:rPr>
                <w:rFonts w:ascii="Arial Narrow" w:hAnsi="Arial Narrow"/>
                <w:sz w:val="20"/>
                <w:szCs w:val="20"/>
              </w:rPr>
              <w:t xml:space="preserve">chest, abdomen and </w:t>
            </w:r>
            <w:r w:rsidR="00583EFA" w:rsidRPr="00331291">
              <w:rPr>
                <w:rFonts w:ascii="Arial Narrow" w:hAnsi="Arial Narrow"/>
                <w:sz w:val="20"/>
                <w:szCs w:val="20"/>
              </w:rPr>
              <w:t>extremity injuries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583EFA" w:rsidRPr="00331291">
              <w:rPr>
                <w:rFonts w:ascii="Arial Narrow" w:hAnsi="Arial Narrow"/>
                <w:sz w:val="20"/>
                <w:szCs w:val="20"/>
              </w:rPr>
              <w:t>Injury mechanisms in falls from heights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5A1A95" w:rsidRPr="00331291">
              <w:rPr>
                <w:rFonts w:ascii="Arial Narrow" w:hAnsi="Arial Narrow"/>
                <w:sz w:val="20"/>
                <w:szCs w:val="20"/>
              </w:rPr>
              <w:t xml:space="preserve">Embolism caused by trombus </w:t>
            </w:r>
            <w:r w:rsidR="00D6068C" w:rsidRPr="00331291">
              <w:rPr>
                <w:rFonts w:ascii="Arial Narrow" w:hAnsi="Arial Narrow"/>
                <w:sz w:val="20"/>
                <w:szCs w:val="20"/>
              </w:rPr>
              <w:t xml:space="preserve">and fat embolism in forensic </w:t>
            </w:r>
            <w:r w:rsidR="00583EFA" w:rsidRPr="00331291">
              <w:rPr>
                <w:rFonts w:ascii="Arial Narrow" w:hAnsi="Arial Narrow"/>
                <w:sz w:val="20"/>
                <w:szCs w:val="20"/>
              </w:rPr>
              <w:t>medicine practice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5916CC">
              <w:rPr>
                <w:rFonts w:ascii="Arial Narrow" w:hAnsi="Arial Narrow"/>
                <w:sz w:val="20"/>
                <w:szCs w:val="20"/>
              </w:rPr>
              <w:t>Clinical forensic medicine;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5D616A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5D616A" w:rsidRPr="00331291">
              <w:rPr>
                <w:rFonts w:ascii="Arial Narrow" w:hAnsi="Arial Narrow"/>
                <w:sz w:val="20"/>
                <w:szCs w:val="20"/>
              </w:rPr>
              <w:t>Forensic toxicology.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D616A" w:rsidRPr="00331291">
              <w:rPr>
                <w:rFonts w:ascii="Arial Narrow" w:hAnsi="Arial Narrow"/>
                <w:sz w:val="20"/>
                <w:szCs w:val="20"/>
              </w:rPr>
              <w:t>Acrid, arsenic, carbon monoxide, prussic acid, strychnine,</w:t>
            </w:r>
            <w:r w:rsidR="005D616A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D616A" w:rsidRPr="00331291">
              <w:rPr>
                <w:rFonts w:ascii="Arial Narrow" w:hAnsi="Arial Narrow"/>
                <w:sz w:val="20"/>
                <w:szCs w:val="20"/>
              </w:rPr>
              <w:t>mercury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 xml:space="preserve"> organophosphatus insecticide poisoning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sr-Cyrl-CS"/>
              </w:rPr>
              <w:t>. А</w:t>
            </w:r>
            <w:r w:rsidR="005916CC">
              <w:rPr>
                <w:rFonts w:ascii="Arial Narrow" w:hAnsi="Arial Narrow"/>
                <w:sz w:val="20"/>
                <w:szCs w:val="20"/>
              </w:rPr>
              <w:t>lcohol;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Drug addiction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marijuana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morphin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heroin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cocaine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LSD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ecstasy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medication poisoning)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5916CC">
              <w:rPr>
                <w:rFonts w:ascii="Arial Narrow" w:hAnsi="Arial Narrow"/>
                <w:sz w:val="20"/>
                <w:szCs w:val="20"/>
              </w:rPr>
              <w:t>HIV in forensic medicine;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5916CC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814485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743194" w:rsidRPr="00331291">
              <w:rPr>
                <w:rFonts w:ascii="Arial Narrow" w:hAnsi="Arial Narrow"/>
                <w:sz w:val="20"/>
                <w:szCs w:val="20"/>
              </w:rPr>
              <w:t>Forensic medical expertiz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>e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814485" w:rsidRPr="00331291">
              <w:rPr>
                <w:rFonts w:ascii="Arial Narrow" w:hAnsi="Arial Narrow"/>
                <w:sz w:val="20"/>
                <w:szCs w:val="20"/>
              </w:rPr>
              <w:t xml:space="preserve"> Classification and qualification of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 xml:space="preserve">bodily injuries. 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 xml:space="preserve">Sexual intercourse 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 xml:space="preserve">and crimes associated with it.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>Natural sexual acts.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>Unnat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>ural sexual acts. Rape, sexual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 xml:space="preserve"> assaults</w:t>
            </w:r>
            <w:r w:rsidR="00E05C70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>unnatural sexual assaults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5916CC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>Fo</w:t>
            </w:r>
            <w:r w:rsidR="00834A8F" w:rsidRPr="00331291">
              <w:rPr>
                <w:rFonts w:ascii="Arial Narrow" w:hAnsi="Arial Narrow"/>
                <w:sz w:val="20"/>
                <w:szCs w:val="20"/>
              </w:rPr>
              <w:t xml:space="preserve">rensic importance of pregnancy, </w:t>
            </w:r>
            <w:r w:rsidR="00FF0FB2" w:rsidRPr="00331291">
              <w:rPr>
                <w:rFonts w:ascii="Arial Narrow" w:hAnsi="Arial Narrow"/>
                <w:sz w:val="20"/>
                <w:szCs w:val="20"/>
              </w:rPr>
              <w:t xml:space="preserve">childbirth and abortus. 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An infant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Natural and violent infant death.</w:t>
            </w:r>
            <w:r w:rsidR="007C3047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Infanticide</w:t>
            </w:r>
            <w:r w:rsidR="007C3047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Family violence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Child abuse.</w:t>
            </w:r>
            <w:r w:rsidR="007C3047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Torture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>Identification of living persons, corpse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>s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>human biological traces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7C3047" w:rsidRPr="00331291">
              <w:rPr>
                <w:rFonts w:ascii="Arial Narrow" w:hAnsi="Arial Narrow"/>
                <w:sz w:val="20"/>
                <w:szCs w:val="20"/>
              </w:rPr>
              <w:t xml:space="preserve">Paternity testing, DNA analysis. </w:t>
            </w:r>
            <w:r w:rsidRPr="0033129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E0142D" w:rsidRPr="00331291">
              <w:rPr>
                <w:rFonts w:ascii="Arial Narrow" w:hAnsi="Arial Narrow"/>
                <w:sz w:val="20"/>
                <w:szCs w:val="20"/>
              </w:rPr>
              <w:t>Identifi</w:t>
            </w:r>
            <w:r w:rsidR="005916CC">
              <w:rPr>
                <w:rFonts w:ascii="Arial Narrow" w:hAnsi="Arial Narrow"/>
                <w:sz w:val="20"/>
                <w:szCs w:val="20"/>
              </w:rPr>
              <w:t>cation based on dental evidence;</w:t>
            </w:r>
            <w:r w:rsidR="00E0142D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F43DB3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F43DB3" w:rsidRPr="00331291">
              <w:rPr>
                <w:rFonts w:ascii="Arial Narrow" w:hAnsi="Arial Narrow"/>
                <w:sz w:val="20"/>
                <w:szCs w:val="20"/>
              </w:rPr>
              <w:t>Accidental death</w:t>
            </w:r>
            <w:r w:rsidR="0092110C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92110C" w:rsidRPr="00331291">
              <w:rPr>
                <w:rFonts w:ascii="Arial Narrow" w:hAnsi="Arial Narrow"/>
                <w:sz w:val="20"/>
                <w:szCs w:val="20"/>
              </w:rPr>
              <w:t>Traffic traumatism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F43DB3" w:rsidRPr="00331291">
              <w:rPr>
                <w:rFonts w:ascii="Arial Narrow" w:hAnsi="Arial Narrow"/>
                <w:sz w:val="20"/>
                <w:szCs w:val="20"/>
              </w:rPr>
              <w:t>Injuries of</w:t>
            </w:r>
            <w:r w:rsidR="00E05C70" w:rsidRPr="00331291">
              <w:rPr>
                <w:rFonts w:ascii="Arial Narrow" w:hAnsi="Arial Narrow"/>
                <w:sz w:val="20"/>
                <w:szCs w:val="20"/>
              </w:rPr>
              <w:t xml:space="preserve"> traffic participants</w:t>
            </w:r>
            <w:r w:rsidR="0092110C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92110C" w:rsidRPr="00331291">
              <w:rPr>
                <w:rFonts w:ascii="Arial Narrow" w:hAnsi="Arial Narrow"/>
                <w:sz w:val="20"/>
                <w:szCs w:val="20"/>
              </w:rPr>
              <w:t xml:space="preserve">Traffic traumatism and alcohol. </w:t>
            </w:r>
            <w:r w:rsidR="005916CC">
              <w:rPr>
                <w:rFonts w:ascii="Arial Narrow" w:hAnsi="Arial Narrow"/>
                <w:sz w:val="20"/>
                <w:szCs w:val="20"/>
              </w:rPr>
              <w:t>Suicide. Murder;</w:t>
            </w:r>
          </w:p>
          <w:p w:rsidR="005B3A2B" w:rsidRPr="00331291" w:rsidRDefault="005B3A2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2110C"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>Forensic medical expertiz</w:t>
            </w:r>
            <w:r w:rsidR="0092110C" w:rsidRPr="00331291">
              <w:rPr>
                <w:rFonts w:ascii="Arial Narrow" w:hAnsi="Arial Narrow"/>
                <w:sz w:val="20"/>
                <w:szCs w:val="20"/>
              </w:rPr>
              <w:t>e</w:t>
            </w:r>
            <w:r w:rsidRPr="0033129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="00325D13" w:rsidRPr="00331291">
              <w:rPr>
                <w:rFonts w:ascii="Arial Narrow" w:hAnsi="Arial Narrow"/>
                <w:sz w:val="20"/>
                <w:szCs w:val="20"/>
              </w:rPr>
              <w:t>the</w:t>
            </w:r>
            <w:r w:rsidR="009B2F2B" w:rsidRPr="00331291">
              <w:rPr>
                <w:rFonts w:ascii="Arial Narrow" w:hAnsi="Arial Narrow"/>
                <w:sz w:val="20"/>
                <w:szCs w:val="20"/>
              </w:rPr>
              <w:t xml:space="preserve"> choice of a forensic expert</w:t>
            </w:r>
            <w:r w:rsidR="00325D13" w:rsidRPr="00331291">
              <w:rPr>
                <w:rFonts w:ascii="Arial Narrow" w:hAnsi="Arial Narrow"/>
                <w:sz w:val="20"/>
                <w:szCs w:val="20"/>
              </w:rPr>
              <w:t>, subject matter and importa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>nce of forensic medical expertiz</w:t>
            </w:r>
            <w:r w:rsidR="00325D13" w:rsidRPr="00331291">
              <w:rPr>
                <w:rFonts w:ascii="Arial Narrow" w:hAnsi="Arial Narrow"/>
                <w:sz w:val="20"/>
                <w:szCs w:val="20"/>
              </w:rPr>
              <w:t>e. Pha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>ses of forensic medical expertiz</w:t>
            </w:r>
            <w:r w:rsidR="00325D13" w:rsidRPr="00331291">
              <w:rPr>
                <w:rFonts w:ascii="Arial Narrow" w:hAnsi="Arial Narrow"/>
                <w:sz w:val="20"/>
                <w:szCs w:val="20"/>
              </w:rPr>
              <w:t>e.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263DB4" w:rsidRPr="00331291">
              <w:rPr>
                <w:rFonts w:ascii="Arial Narrow" w:hAnsi="Arial Narrow"/>
                <w:sz w:val="20"/>
                <w:szCs w:val="20"/>
              </w:rPr>
              <w:t>The differences between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 xml:space="preserve"> a forensic</w:t>
            </w:r>
            <w:r w:rsidR="00F43DB3" w:rsidRPr="00331291">
              <w:rPr>
                <w:rFonts w:ascii="Arial Narrow" w:hAnsi="Arial Narrow"/>
                <w:sz w:val="20"/>
                <w:szCs w:val="20"/>
              </w:rPr>
              <w:t xml:space="preserve"> expert and a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916CC">
              <w:rPr>
                <w:rFonts w:ascii="Arial Narrow" w:hAnsi="Arial Narrow"/>
                <w:sz w:val="20"/>
                <w:szCs w:val="20"/>
              </w:rPr>
              <w:t>witness;</w:t>
            </w:r>
            <w:r w:rsidR="00263DB4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B3A2B" w:rsidRPr="00331291" w:rsidRDefault="005B3A2B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3312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9B2F2B" w:rsidRPr="00331291">
              <w:rPr>
                <w:rFonts w:ascii="Arial Narrow" w:hAnsi="Arial Narrow"/>
                <w:sz w:val="20"/>
                <w:szCs w:val="20"/>
              </w:rPr>
              <w:t>Professionalism and deontological ethics in medical profession. Reconstruction</w:t>
            </w:r>
            <w:r w:rsidR="009B2F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. Е</w:t>
            </w:r>
            <w:r w:rsidR="009B2F2B" w:rsidRPr="00331291">
              <w:rPr>
                <w:rFonts w:ascii="Arial Narrow" w:hAnsi="Arial Narrow"/>
                <w:sz w:val="20"/>
                <w:szCs w:val="20"/>
              </w:rPr>
              <w:t>xhumation.</w:t>
            </w:r>
          </w:p>
          <w:p w:rsidR="005B3A2B" w:rsidRPr="00331291" w:rsidRDefault="005B3A2B" w:rsidP="003439F8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A95395" w:rsidRPr="00331291" w:rsidRDefault="00A95395" w:rsidP="0041147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5B3A2B" w:rsidRPr="00331291" w:rsidRDefault="005B3A2B" w:rsidP="004114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31291">
              <w:rPr>
                <w:rFonts w:ascii="Arial Narrow" w:hAnsi="Arial Narrow"/>
                <w:b/>
                <w:sz w:val="20"/>
                <w:szCs w:val="20"/>
              </w:rPr>
              <w:t>Exercises</w:t>
            </w:r>
          </w:p>
          <w:p w:rsidR="005B3A2B" w:rsidRPr="00331291" w:rsidRDefault="005B3A2B" w:rsidP="00274D3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5B3A2B" w:rsidRPr="00331291" w:rsidRDefault="00A9539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331291">
              <w:rPr>
                <w:rFonts w:ascii="Arial Narrow" w:hAnsi="Arial Narrow"/>
                <w:sz w:val="20"/>
                <w:szCs w:val="20"/>
              </w:rPr>
              <w:t>hanatology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331291">
              <w:rPr>
                <w:rFonts w:ascii="Arial Narrow" w:hAnsi="Arial Narrow"/>
                <w:sz w:val="20"/>
                <w:szCs w:val="20"/>
              </w:rPr>
              <w:t>Vital reactions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331291">
              <w:rPr>
                <w:rFonts w:ascii="Arial Narrow" w:hAnsi="Arial Narrow"/>
                <w:sz w:val="20"/>
                <w:szCs w:val="20"/>
              </w:rPr>
              <w:t>video presentations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E2615C"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E2615C" w:rsidRPr="00331291">
              <w:rPr>
                <w:rFonts w:ascii="Arial Narrow" w:hAnsi="Arial Narrow"/>
                <w:sz w:val="20"/>
                <w:szCs w:val="20"/>
              </w:rPr>
              <w:t>Death certificate</w:t>
            </w:r>
            <w:r w:rsidR="00E2615C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>completing a death certificate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E2615C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Forensic autopsy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 xml:space="preserve">OSM </w:t>
            </w:r>
            <w:r w:rsidRPr="00331291">
              <w:rPr>
                <w:rFonts w:ascii="Arial Narrow" w:hAnsi="Arial Narrow"/>
                <w:sz w:val="20"/>
                <w:szCs w:val="20"/>
              </w:rPr>
              <w:t>film about autopsy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 xml:space="preserve"> directly shot in </w:t>
            </w:r>
            <w:r w:rsidR="00915711" w:rsidRPr="00331291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>Clinical center of Montenegro in Podgorica)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7907AB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Natural health da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>mage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>a case presentation and examples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7907AB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Violent health da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 xml:space="preserve">mage and mechanical injuries </w:t>
            </w:r>
            <w:r w:rsidR="00465A08"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>video presentation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465A08" w:rsidRPr="00331291">
              <w:rPr>
                <w:rFonts w:ascii="Arial Narrow" w:hAnsi="Arial Narrow"/>
                <w:sz w:val="20"/>
                <w:szCs w:val="20"/>
              </w:rPr>
              <w:t>photography presentation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331291">
              <w:rPr>
                <w:rFonts w:ascii="Arial Narrow" w:hAnsi="Arial Narrow"/>
                <w:sz w:val="20"/>
                <w:szCs w:val="20"/>
              </w:rPr>
              <w:t>injury description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);</w:t>
            </w:r>
          </w:p>
          <w:p w:rsidR="005B3A2B" w:rsidRPr="00331291" w:rsidRDefault="00737F0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Physical and asphyxia</w:t>
            </w:r>
            <w:r w:rsidR="007907AB" w:rsidRPr="00331291">
              <w:rPr>
                <w:rFonts w:ascii="Arial Narrow" w:hAnsi="Arial Narrow"/>
                <w:sz w:val="20"/>
                <w:szCs w:val="20"/>
              </w:rPr>
              <w:t>l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 injuries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331291">
              <w:rPr>
                <w:rFonts w:ascii="Arial Narrow" w:hAnsi="Arial Narrow"/>
                <w:sz w:val="20"/>
                <w:szCs w:val="20"/>
              </w:rPr>
              <w:t>video presentation and presentation of</w:t>
            </w:r>
            <w:r w:rsidR="00412CD1" w:rsidRPr="00331291">
              <w:rPr>
                <w:rFonts w:ascii="Arial Narrow" w:hAnsi="Arial Narrow"/>
                <w:sz w:val="20"/>
                <w:szCs w:val="20"/>
              </w:rPr>
              <w:t xml:space="preserve"> photographs revealing certain physical and asphyxia</w:t>
            </w:r>
            <w:r w:rsidR="007907AB" w:rsidRPr="00331291">
              <w:rPr>
                <w:rFonts w:ascii="Arial Narrow" w:hAnsi="Arial Narrow"/>
                <w:sz w:val="20"/>
                <w:szCs w:val="20"/>
              </w:rPr>
              <w:t>l</w:t>
            </w:r>
            <w:r w:rsidR="005916CC">
              <w:rPr>
                <w:rFonts w:ascii="Arial Narrow" w:hAnsi="Arial Narrow"/>
                <w:sz w:val="20"/>
                <w:szCs w:val="20"/>
              </w:rPr>
              <w:t xml:space="preserve"> injuries);</w:t>
            </w:r>
          </w:p>
          <w:p w:rsidR="005B3A2B" w:rsidRPr="00331291" w:rsidRDefault="00412CD1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Chemical injuries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331291">
              <w:rPr>
                <w:rFonts w:ascii="Arial Narrow" w:hAnsi="Arial Narrow"/>
                <w:sz w:val="20"/>
                <w:szCs w:val="20"/>
              </w:rPr>
              <w:t>toxicology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), </w:t>
            </w:r>
            <w:r w:rsidRPr="00331291">
              <w:rPr>
                <w:rFonts w:ascii="Arial Narrow" w:hAnsi="Arial Narrow"/>
                <w:sz w:val="20"/>
                <w:szCs w:val="20"/>
              </w:rPr>
              <w:t>alcoholism and</w:t>
            </w:r>
            <w:r w:rsidR="004C3F9F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907AB" w:rsidRPr="00331291">
              <w:rPr>
                <w:rFonts w:ascii="Arial Narrow" w:hAnsi="Arial Narrow"/>
                <w:sz w:val="20"/>
                <w:szCs w:val="20"/>
              </w:rPr>
              <w:t>alcohol expertize</w:t>
            </w:r>
            <w:r w:rsidR="002138B0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</w:t>
            </w:r>
            <w:r w:rsidR="002138B0" w:rsidRPr="00331291">
              <w:rPr>
                <w:rFonts w:ascii="Arial Narrow" w:hAnsi="Arial Narrow"/>
                <w:sz w:val="20"/>
                <w:szCs w:val="20"/>
              </w:rPr>
              <w:t>exercises; determining blood alcohol concentration at the time of the accident</w:t>
            </w:r>
            <w:r w:rsidR="002138B0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</w:t>
            </w:r>
            <w:r w:rsidR="002138B0" w:rsidRPr="00331291">
              <w:rPr>
                <w:rFonts w:ascii="Arial Narrow" w:hAnsi="Arial Narrow"/>
                <w:sz w:val="20"/>
                <w:szCs w:val="20"/>
              </w:rPr>
              <w:t>exercises and tasks</w:t>
            </w:r>
            <w:r w:rsidR="00331291" w:rsidRPr="00331291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2138B0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 xml:space="preserve">Biological and psychological injuries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331291">
              <w:rPr>
                <w:rFonts w:ascii="Arial Narrow" w:hAnsi="Arial Narrow"/>
                <w:sz w:val="20"/>
                <w:szCs w:val="20"/>
              </w:rPr>
              <w:t>case reports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2138B0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Forensic autopsy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CF5E95" w:rsidRPr="00331291">
              <w:rPr>
                <w:rFonts w:ascii="Arial Narrow" w:hAnsi="Arial Narrow"/>
                <w:sz w:val="20"/>
                <w:szCs w:val="20"/>
              </w:rPr>
              <w:t>attending forensic autopsy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CF5E9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Injuries of certain body parts and regions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0E0EDF"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0E0EDF" w:rsidRPr="00331291">
              <w:rPr>
                <w:rFonts w:ascii="Arial Narrow" w:hAnsi="Arial Narrow"/>
                <w:sz w:val="20"/>
                <w:szCs w:val="20"/>
              </w:rPr>
              <w:t>case reports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331291">
              <w:rPr>
                <w:rFonts w:ascii="Arial Narrow" w:hAnsi="Arial Narrow"/>
                <w:sz w:val="20"/>
                <w:szCs w:val="20"/>
              </w:rPr>
              <w:t>presentation</w:t>
            </w:r>
            <w:r w:rsidR="000E0EDF" w:rsidRPr="00331291">
              <w:rPr>
                <w:rFonts w:ascii="Arial Narrow" w:hAnsi="Arial Narrow"/>
                <w:sz w:val="20"/>
                <w:szCs w:val="20"/>
              </w:rPr>
              <w:t>s</w:t>
            </w:r>
            <w:r w:rsidR="000E0EDF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0E0EDF" w:rsidRPr="00331291">
              <w:rPr>
                <w:rFonts w:ascii="Arial Narrow" w:hAnsi="Arial Narrow"/>
                <w:sz w:val="20"/>
                <w:szCs w:val="20"/>
              </w:rPr>
              <w:t>photographs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0E0ED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Accidental death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31291">
              <w:rPr>
                <w:rFonts w:ascii="Arial Narrow" w:hAnsi="Arial Narrow"/>
                <w:sz w:val="20"/>
                <w:szCs w:val="20"/>
              </w:rPr>
              <w:t>suicide, murder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331291">
              <w:rPr>
                <w:rFonts w:ascii="Arial Narrow" w:hAnsi="Arial Narrow"/>
                <w:sz w:val="20"/>
                <w:szCs w:val="20"/>
              </w:rPr>
              <w:t>autopsy presentations</w:t>
            </w:r>
            <w:r w:rsidR="00331291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 </w:t>
            </w:r>
            <w:r w:rsidRPr="00331291">
              <w:rPr>
                <w:rFonts w:ascii="Arial Narrow" w:hAnsi="Arial Narrow"/>
                <w:sz w:val="20"/>
                <w:szCs w:val="20"/>
              </w:rPr>
              <w:t>drivers, pedestrians,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331291" w:rsidRPr="00331291">
              <w:rPr>
                <w:rFonts w:ascii="Arial Narrow" w:hAnsi="Arial Narrow"/>
                <w:sz w:val="20"/>
                <w:szCs w:val="20"/>
              </w:rPr>
              <w:t>passenger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331291" w:rsidRPr="00331291">
              <w:rPr>
                <w:rFonts w:ascii="Arial Narrow" w:hAnsi="Arial Narrow"/>
                <w:sz w:val="20"/>
                <w:szCs w:val="20"/>
              </w:rPr>
              <w:t xml:space="preserve">falls from </w:t>
            </w:r>
            <w:r w:rsidRPr="00331291">
              <w:rPr>
                <w:rFonts w:ascii="Arial Narrow" w:hAnsi="Arial Narrow"/>
                <w:sz w:val="20"/>
                <w:szCs w:val="20"/>
              </w:rPr>
              <w:t>height</w:t>
            </w:r>
            <w:r w:rsidR="00331291" w:rsidRPr="00331291">
              <w:rPr>
                <w:rFonts w:ascii="Arial Narrow" w:hAnsi="Arial Narrow"/>
                <w:sz w:val="20"/>
                <w:szCs w:val="20"/>
              </w:rPr>
              <w:t>s</w:t>
            </w:r>
            <w:r w:rsidR="00331291" w:rsidRPr="00331291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="00331291" w:rsidRPr="003312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A09E9" w:rsidRPr="00331291">
              <w:rPr>
                <w:rFonts w:ascii="Arial Narrow" w:hAnsi="Arial Narrow"/>
                <w:sz w:val="20"/>
                <w:szCs w:val="20"/>
              </w:rPr>
              <w:t>different types of suicide and murder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9A09E9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Professional</w:t>
            </w:r>
            <w:r w:rsidR="00331291">
              <w:rPr>
                <w:rFonts w:ascii="Arial Narrow" w:hAnsi="Arial Narrow"/>
                <w:sz w:val="20"/>
                <w:szCs w:val="20"/>
              </w:rPr>
              <w:t>ism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 and deontological ethics in medical profession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Legal regulations </w:t>
            </w:r>
            <w:r w:rsidRPr="00331291">
              <w:rPr>
                <w:rFonts w:ascii="Arial Narrow" w:hAnsi="Arial Narrow"/>
                <w:sz w:val="20"/>
                <w:szCs w:val="20"/>
              </w:rPr>
              <w:t>associated with medical profession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Pr="00331291">
              <w:rPr>
                <w:rFonts w:ascii="Arial Narrow" w:hAnsi="Arial Narrow"/>
                <w:sz w:val="20"/>
                <w:szCs w:val="20"/>
              </w:rPr>
              <w:t>cRPC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>, К</w:t>
            </w:r>
            <w:r w:rsidRPr="00331291">
              <w:rPr>
                <w:rFonts w:ascii="Arial Narrow" w:hAnsi="Arial Narrow"/>
                <w:sz w:val="20"/>
                <w:szCs w:val="20"/>
              </w:rPr>
              <w:t>L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071776">
              <w:rPr>
                <w:rFonts w:ascii="Arial Narrow" w:hAnsi="Arial Narrow"/>
                <w:sz w:val="20"/>
                <w:szCs w:val="20"/>
              </w:rPr>
              <w:t>The litigation process,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31291">
              <w:rPr>
                <w:rFonts w:ascii="Arial Narrow" w:hAnsi="Arial Narrow"/>
                <w:sz w:val="20"/>
                <w:szCs w:val="20"/>
              </w:rPr>
              <w:t>The Geneva convention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>. Е</w:t>
            </w:r>
            <w:r w:rsidRPr="00331291">
              <w:rPr>
                <w:rFonts w:ascii="Arial Narrow" w:hAnsi="Arial Narrow"/>
                <w:sz w:val="20"/>
                <w:szCs w:val="20"/>
              </w:rPr>
              <w:t>uthanasia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. (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showing </w:t>
            </w:r>
            <w:r w:rsidR="00071776">
              <w:rPr>
                <w:rFonts w:ascii="Arial Narrow" w:hAnsi="Arial Narrow"/>
                <w:sz w:val="20"/>
                <w:szCs w:val="20"/>
              </w:rPr>
              <w:t xml:space="preserve"> the </w:t>
            </w:r>
            <w:r w:rsidRPr="00331291">
              <w:rPr>
                <w:rFonts w:ascii="Arial Narrow" w:hAnsi="Arial Narrow"/>
                <w:sz w:val="20"/>
                <w:szCs w:val="20"/>
              </w:rPr>
              <w:t>examples of medical errors</w:t>
            </w:r>
            <w:r w:rsidR="000E2E2E" w:rsidRPr="00331291">
              <w:rPr>
                <w:rFonts w:ascii="Arial Narrow" w:hAnsi="Arial Narrow"/>
                <w:sz w:val="20"/>
                <w:szCs w:val="20"/>
              </w:rPr>
              <w:t>, as well as</w:t>
            </w:r>
            <w:r w:rsidR="00071776">
              <w:rPr>
                <w:rFonts w:ascii="Arial Narrow" w:hAnsi="Arial Narrow"/>
                <w:sz w:val="20"/>
                <w:szCs w:val="20"/>
              </w:rPr>
              <w:t xml:space="preserve"> the examples</w:t>
            </w:r>
            <w:r w:rsidR="000E2E2E" w:rsidRPr="00331291">
              <w:rPr>
                <w:rFonts w:ascii="Arial Narrow" w:hAnsi="Arial Narrow"/>
                <w:sz w:val="20"/>
                <w:szCs w:val="20"/>
              </w:rPr>
              <w:t xml:space="preserve"> in which medical errors are not proved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0E2E2E" w:rsidRPr="00331291">
              <w:rPr>
                <w:rFonts w:ascii="Arial Narrow" w:hAnsi="Arial Narrow"/>
                <w:sz w:val="20"/>
                <w:szCs w:val="20"/>
              </w:rPr>
              <w:t xml:space="preserve"> practical importance of euthanasia for a clinician and </w:t>
            </w:r>
            <w:r w:rsidR="00071776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="000E2E2E" w:rsidRPr="00331291">
              <w:rPr>
                <w:rFonts w:ascii="Arial Narrow" w:hAnsi="Arial Narrow"/>
                <w:sz w:val="20"/>
                <w:szCs w:val="20"/>
              </w:rPr>
              <w:t>forensic pathol</w:t>
            </w:r>
            <w:r w:rsidR="00071776">
              <w:rPr>
                <w:rFonts w:ascii="Arial Narrow" w:hAnsi="Arial Narrow"/>
                <w:sz w:val="20"/>
                <w:szCs w:val="20"/>
              </w:rPr>
              <w:t>o</w:t>
            </w:r>
            <w:r w:rsidR="000E2E2E" w:rsidRPr="00331291">
              <w:rPr>
                <w:rFonts w:ascii="Arial Narrow" w:hAnsi="Arial Narrow"/>
                <w:sz w:val="20"/>
                <w:szCs w:val="20"/>
              </w:rPr>
              <w:t>gist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0E2E2E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Forensic autopsy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071776">
              <w:rPr>
                <w:rFonts w:ascii="Arial Narrow" w:hAnsi="Arial Narrow"/>
                <w:sz w:val="20"/>
                <w:szCs w:val="20"/>
              </w:rPr>
              <w:t>attending and observing forensic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 autopsy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0E2E2E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Forensic autopsy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practical examples and tasks of </w:t>
            </w:r>
            <w:r w:rsidR="00071776">
              <w:rPr>
                <w:rFonts w:ascii="Arial Narrow" w:hAnsi="Arial Narrow"/>
                <w:sz w:val="20"/>
                <w:szCs w:val="20"/>
              </w:rPr>
              <w:t>certain forensic expertiz</w:t>
            </w:r>
            <w:r w:rsidR="00C85D67" w:rsidRPr="00331291">
              <w:rPr>
                <w:rFonts w:ascii="Arial Narrow" w:hAnsi="Arial Narrow"/>
                <w:sz w:val="20"/>
                <w:szCs w:val="20"/>
              </w:rPr>
              <w:t>es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C85D67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</w:rPr>
              <w:t>Identification and methods of identification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145BD3">
              <w:rPr>
                <w:rFonts w:ascii="Arial Narrow" w:hAnsi="Arial Narrow"/>
                <w:sz w:val="20"/>
                <w:szCs w:val="20"/>
              </w:rPr>
              <w:t>identification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 of living persons and corpses</w:t>
            </w:r>
            <w:r w:rsidRPr="0033129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forensic aspects of DNA analysis 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with special reference to </w:t>
            </w:r>
            <w:r w:rsidR="00145BD3">
              <w:rPr>
                <w:rFonts w:ascii="Arial Narrow" w:hAnsi="Arial Narrow"/>
                <w:sz w:val="20"/>
                <w:szCs w:val="20"/>
              </w:rPr>
              <w:t xml:space="preserve">the responsibilities of a clinician </w:t>
            </w:r>
            <w:r w:rsidRPr="00331291">
              <w:rPr>
                <w:rFonts w:ascii="Arial Narrow" w:hAnsi="Arial Narrow"/>
                <w:sz w:val="20"/>
                <w:szCs w:val="20"/>
              </w:rPr>
              <w:t>during identi</w:t>
            </w:r>
            <w:r w:rsidR="00145BD3">
              <w:rPr>
                <w:rFonts w:ascii="Arial Narrow" w:hAnsi="Arial Narrow"/>
                <w:sz w:val="20"/>
                <w:szCs w:val="20"/>
              </w:rPr>
              <w:t>fication and provision of medical</w:t>
            </w:r>
            <w:r w:rsidRPr="00331291">
              <w:rPr>
                <w:rFonts w:ascii="Arial Narrow" w:hAnsi="Arial Narrow"/>
                <w:sz w:val="20"/>
                <w:szCs w:val="20"/>
              </w:rPr>
              <w:t xml:space="preserve"> care to the injured in mass casualty incidents</w:t>
            </w:r>
            <w:r w:rsidR="005916C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="005916C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B3A2B" w:rsidRPr="00331291" w:rsidRDefault="00C85D67" w:rsidP="00355B1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1291">
              <w:rPr>
                <w:rFonts w:ascii="Arial Narrow" w:hAnsi="Arial Narrow"/>
                <w:sz w:val="20"/>
                <w:szCs w:val="20"/>
                <w:lang w:val="en-US"/>
              </w:rPr>
              <w:t xml:space="preserve">Forensic autopsy </w:t>
            </w:r>
            <w:r w:rsidRPr="0033129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331291">
              <w:rPr>
                <w:rFonts w:ascii="Arial Narrow" w:hAnsi="Arial Narrow"/>
                <w:sz w:val="20"/>
                <w:szCs w:val="20"/>
                <w:lang w:val="en-US"/>
              </w:rPr>
              <w:t>attending and observing forensic autopsy</w:t>
            </w:r>
            <w:r w:rsidR="005B3A2B" w:rsidRPr="00331291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</w:tc>
      </w:tr>
      <w:tr w:rsidR="005B3A2B" w:rsidRPr="0049282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A2B" w:rsidRPr="00D91E60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5B3A2B" w:rsidRPr="0049282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3A2B" w:rsidRPr="00D91E60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145BD3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B3A2B" w:rsidRPr="00D91E60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3A2B" w:rsidRPr="00D91E60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B3A2B" w:rsidRPr="004867A1" w:rsidRDefault="005B3A2B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5B3A2B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B3A2B" w:rsidRPr="00492822" w:rsidRDefault="00C65BC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Savić S et al</w:t>
            </w:r>
            <w:r w:rsidR="005B3A2B"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3A2B" w:rsidRPr="00C85D67" w:rsidRDefault="00C65BCA" w:rsidP="003A52B9">
            <w:pPr>
              <w:rPr>
                <w:rFonts w:ascii="Arial Narrow" w:hAnsi="Arial Narrow"/>
                <w:bCs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en-US"/>
              </w:rPr>
              <w:t xml:space="preserve">Forensic medicine-textbook for medical students. University of Belgrade, School of Medicine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3A2B" w:rsidRPr="00492822" w:rsidRDefault="005B3A2B" w:rsidP="00C65BC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20</w:t>
            </w:r>
            <w:r w:rsidR="00C65BCA">
              <w:rPr>
                <w:rFonts w:ascii="Arial Narrow" w:hAnsi="Arial Narrow"/>
                <w:bCs/>
                <w:sz w:val="20"/>
                <w:szCs w:val="20"/>
              </w:rPr>
              <w:t>0</w:t>
            </w:r>
            <w:r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3A2B" w:rsidRPr="00492822" w:rsidRDefault="005B3A2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636A" w:rsidRPr="0049282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A636A" w:rsidRPr="00D91E60" w:rsidRDefault="000A636A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0A636A" w:rsidRPr="0049282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A636A" w:rsidRPr="00C959E6" w:rsidRDefault="000A636A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145BD3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 w:rsidRPr="00C959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A636A" w:rsidRPr="00D91E60" w:rsidRDefault="000A636A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A636A" w:rsidRPr="00D91E60" w:rsidRDefault="000A636A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A636A" w:rsidRPr="004867A1" w:rsidRDefault="000A636A" w:rsidP="0032798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0A636A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A636A" w:rsidRPr="00492822" w:rsidRDefault="000A636A" w:rsidP="0096439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A636A" w:rsidRPr="00492822" w:rsidRDefault="000A636A" w:rsidP="00B070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636A" w:rsidRPr="00492822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A636A" w:rsidRPr="00492822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636A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A636A" w:rsidRPr="00C85D67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A636A" w:rsidRPr="00C85D67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636A" w:rsidRPr="00492822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A636A" w:rsidRPr="00492822" w:rsidRDefault="000A636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636A" w:rsidRPr="0049282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A636A" w:rsidRPr="00145BD3" w:rsidRDefault="00145BD3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A636A" w:rsidRPr="00145BD3" w:rsidRDefault="00145BD3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A636A" w:rsidRPr="00145BD3" w:rsidRDefault="00145BD3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A636A" w:rsidRPr="000A636A" w:rsidRDefault="000A636A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0A636A" w:rsidRDefault="000A636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 w:rsidR="00145B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0A636A" w:rsidRDefault="00145BD3" w:rsidP="003F252F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0A636A">
              <w:rPr>
                <w:rFonts w:ascii="Arial Narrow" w:hAnsi="Arial Narrow" w:cs="Times New Roman"/>
                <w:sz w:val="20"/>
                <w:szCs w:val="20"/>
              </w:rPr>
              <w:t>eminar paper</w:t>
            </w:r>
          </w:p>
        </w:tc>
        <w:tc>
          <w:tcPr>
            <w:tcW w:w="992" w:type="dxa"/>
            <w:gridSpan w:val="2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0A636A" w:rsidRDefault="000A636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test</w:t>
            </w: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mid-term exam</w:t>
            </w:r>
          </w:p>
        </w:tc>
        <w:tc>
          <w:tcPr>
            <w:tcW w:w="992" w:type="dxa"/>
            <w:gridSpan w:val="2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D5220E" w:rsidRDefault="00D5220E" w:rsidP="00D5220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practice</w:t>
            </w:r>
          </w:p>
        </w:tc>
        <w:tc>
          <w:tcPr>
            <w:tcW w:w="992" w:type="dxa"/>
            <w:gridSpan w:val="2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A636A" w:rsidRPr="000A636A" w:rsidRDefault="000A636A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0A636A" w:rsidRDefault="000A636A" w:rsidP="009643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  practical </w:t>
            </w:r>
          </w:p>
        </w:tc>
        <w:tc>
          <w:tcPr>
            <w:tcW w:w="992" w:type="dxa"/>
            <w:gridSpan w:val="2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A636A" w:rsidRPr="000A636A" w:rsidRDefault="000A636A" w:rsidP="00123E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</w:t>
            </w:r>
            <w:r w:rsidR="00123E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</w:t>
            </w:r>
            <w:r w:rsidR="00123E8D">
              <w:rPr>
                <w:rFonts w:ascii="Arial Narrow" w:hAnsi="Arial Narrow" w:cs="Times New Roman"/>
                <w:sz w:val="20"/>
                <w:szCs w:val="20"/>
              </w:rPr>
              <w:t>Written test</w:t>
            </w:r>
          </w:p>
        </w:tc>
        <w:tc>
          <w:tcPr>
            <w:tcW w:w="992" w:type="dxa"/>
            <w:gridSpan w:val="2"/>
            <w:vAlign w:val="center"/>
          </w:tcPr>
          <w:p w:rsidR="000A636A" w:rsidRPr="00123E8D" w:rsidRDefault="00123E8D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center"/>
          </w:tcPr>
          <w:p w:rsidR="000A636A" w:rsidRPr="00492822" w:rsidRDefault="00123E8D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35</w:t>
            </w:r>
            <w:r w:rsidR="000A636A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0A636A" w:rsidRPr="0049282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36A" w:rsidRPr="00492822" w:rsidRDefault="000A636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A636A" w:rsidRPr="000A636A" w:rsidRDefault="000A636A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A636A" w:rsidRPr="00492822" w:rsidRDefault="000A636A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123E8D" w:rsidRPr="0049282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23E8D" w:rsidRPr="000A636A" w:rsidRDefault="00123E8D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123E8D" w:rsidRPr="00147BB7" w:rsidRDefault="00123E8D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Pr="00492822" w:rsidRDefault="00BB3616">
      <w:pPr>
        <w:rPr>
          <w:rFonts w:ascii="Arial Narrow" w:hAnsi="Arial Narrow" w:cs="Times New Roman"/>
          <w:sz w:val="20"/>
          <w:szCs w:val="20"/>
          <w:lang w:val="sr-Cyrl-BA"/>
        </w:rPr>
      </w:pPr>
    </w:p>
    <w:p w:rsidR="00B36B65" w:rsidRPr="000A636A" w:rsidRDefault="000A636A">
      <w:pPr>
        <w:rPr>
          <w:rFonts w:ascii="Arial Narrow" w:hAnsi="Arial Narrow" w:cs="Times New Roman"/>
          <w:sz w:val="18"/>
          <w:szCs w:val="20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sectPr w:rsidR="00B36B65" w:rsidRPr="000A636A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A45" w:rsidRDefault="00964A45" w:rsidP="00662C2A">
      <w:pPr>
        <w:spacing w:after="0" w:line="240" w:lineRule="auto"/>
      </w:pPr>
      <w:r>
        <w:separator/>
      </w:r>
    </w:p>
  </w:endnote>
  <w:endnote w:type="continuationSeparator" w:id="1">
    <w:p w:rsidR="00964A45" w:rsidRDefault="00964A4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A45" w:rsidRDefault="00964A45" w:rsidP="00662C2A">
      <w:pPr>
        <w:spacing w:after="0" w:line="240" w:lineRule="auto"/>
      </w:pPr>
      <w:r>
        <w:separator/>
      </w:r>
    </w:p>
  </w:footnote>
  <w:footnote w:type="continuationSeparator" w:id="1">
    <w:p w:rsidR="00964A45" w:rsidRDefault="00964A45" w:rsidP="00662C2A">
      <w:pPr>
        <w:spacing w:after="0" w:line="240" w:lineRule="auto"/>
      </w:pPr>
      <w:r>
        <w:continuationSeparator/>
      </w:r>
    </w:p>
  </w:footnote>
  <w:footnote w:id="2">
    <w:p w:rsidR="0011798C" w:rsidRPr="00BF1185" w:rsidRDefault="0011798C" w:rsidP="0011798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11798C" w:rsidRDefault="0011798C" w:rsidP="0011798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1798C" w:rsidRDefault="0011798C" w:rsidP="0011798C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11798C" w:rsidRPr="00DA36D9" w:rsidRDefault="0011798C" w:rsidP="0011798C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A35"/>
    <w:multiLevelType w:val="hybridMultilevel"/>
    <w:tmpl w:val="99D62AA0"/>
    <w:lvl w:ilvl="0" w:tplc="6726ADE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42A09"/>
    <w:multiLevelType w:val="hybridMultilevel"/>
    <w:tmpl w:val="99480C32"/>
    <w:lvl w:ilvl="0" w:tplc="BF72FB32">
      <w:start w:val="1"/>
      <w:numFmt w:val="decimal"/>
      <w:lvlText w:val="%1."/>
      <w:lvlJc w:val="left"/>
      <w:pPr>
        <w:ind w:left="785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A1247"/>
    <w:multiLevelType w:val="hybridMultilevel"/>
    <w:tmpl w:val="3C1A452A"/>
    <w:lvl w:ilvl="0" w:tplc="BF72FB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43D4"/>
    <w:rsid w:val="00045978"/>
    <w:rsid w:val="00060A17"/>
    <w:rsid w:val="00071776"/>
    <w:rsid w:val="00073BE8"/>
    <w:rsid w:val="000A636A"/>
    <w:rsid w:val="000C20EE"/>
    <w:rsid w:val="000C4C55"/>
    <w:rsid w:val="000D67C3"/>
    <w:rsid w:val="000E0EDF"/>
    <w:rsid w:val="000E2E2E"/>
    <w:rsid w:val="000E6CA4"/>
    <w:rsid w:val="000F2D96"/>
    <w:rsid w:val="0011798C"/>
    <w:rsid w:val="00123E8D"/>
    <w:rsid w:val="00142472"/>
    <w:rsid w:val="00145BD3"/>
    <w:rsid w:val="00146A27"/>
    <w:rsid w:val="00154F48"/>
    <w:rsid w:val="00191E6E"/>
    <w:rsid w:val="001B6A8D"/>
    <w:rsid w:val="001C0770"/>
    <w:rsid w:val="001E27BB"/>
    <w:rsid w:val="002138B0"/>
    <w:rsid w:val="00255512"/>
    <w:rsid w:val="00263DB4"/>
    <w:rsid w:val="00274D35"/>
    <w:rsid w:val="0028117B"/>
    <w:rsid w:val="002833F0"/>
    <w:rsid w:val="00284511"/>
    <w:rsid w:val="002B0879"/>
    <w:rsid w:val="002C5133"/>
    <w:rsid w:val="00322925"/>
    <w:rsid w:val="00325D13"/>
    <w:rsid w:val="00331291"/>
    <w:rsid w:val="003439F8"/>
    <w:rsid w:val="00355B14"/>
    <w:rsid w:val="0037103D"/>
    <w:rsid w:val="003848E7"/>
    <w:rsid w:val="003A52B9"/>
    <w:rsid w:val="003B1A86"/>
    <w:rsid w:val="003B1CA4"/>
    <w:rsid w:val="003B5A99"/>
    <w:rsid w:val="003D1AD1"/>
    <w:rsid w:val="003F252F"/>
    <w:rsid w:val="0041147E"/>
    <w:rsid w:val="00412541"/>
    <w:rsid w:val="00412CD1"/>
    <w:rsid w:val="00421F85"/>
    <w:rsid w:val="0043206D"/>
    <w:rsid w:val="004348AA"/>
    <w:rsid w:val="00435A12"/>
    <w:rsid w:val="00444DF5"/>
    <w:rsid w:val="00446201"/>
    <w:rsid w:val="00453159"/>
    <w:rsid w:val="004601FF"/>
    <w:rsid w:val="00465A08"/>
    <w:rsid w:val="00472247"/>
    <w:rsid w:val="00492822"/>
    <w:rsid w:val="004C3F9F"/>
    <w:rsid w:val="005036E1"/>
    <w:rsid w:val="00506D1D"/>
    <w:rsid w:val="00511C4C"/>
    <w:rsid w:val="0051520D"/>
    <w:rsid w:val="00516918"/>
    <w:rsid w:val="00521C89"/>
    <w:rsid w:val="00545329"/>
    <w:rsid w:val="00550AD9"/>
    <w:rsid w:val="00564658"/>
    <w:rsid w:val="00581BDB"/>
    <w:rsid w:val="005821E8"/>
    <w:rsid w:val="00583EFA"/>
    <w:rsid w:val="005916CC"/>
    <w:rsid w:val="00592CFD"/>
    <w:rsid w:val="005A1A95"/>
    <w:rsid w:val="005B15AE"/>
    <w:rsid w:val="005B3A2B"/>
    <w:rsid w:val="005B5014"/>
    <w:rsid w:val="005D616A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37F05"/>
    <w:rsid w:val="00741E90"/>
    <w:rsid w:val="00743194"/>
    <w:rsid w:val="007803C6"/>
    <w:rsid w:val="007907AB"/>
    <w:rsid w:val="00792E3C"/>
    <w:rsid w:val="007A7335"/>
    <w:rsid w:val="007C1D48"/>
    <w:rsid w:val="007C3047"/>
    <w:rsid w:val="007D4D9B"/>
    <w:rsid w:val="007F7193"/>
    <w:rsid w:val="00814485"/>
    <w:rsid w:val="00815D04"/>
    <w:rsid w:val="00817290"/>
    <w:rsid w:val="008253A8"/>
    <w:rsid w:val="00825747"/>
    <w:rsid w:val="00834A8F"/>
    <w:rsid w:val="00834BB9"/>
    <w:rsid w:val="008432FA"/>
    <w:rsid w:val="008779BC"/>
    <w:rsid w:val="008A1C31"/>
    <w:rsid w:val="008A5AAE"/>
    <w:rsid w:val="008D5263"/>
    <w:rsid w:val="008E419D"/>
    <w:rsid w:val="008E6F9C"/>
    <w:rsid w:val="008F54FF"/>
    <w:rsid w:val="00915711"/>
    <w:rsid w:val="0092110C"/>
    <w:rsid w:val="00953D0B"/>
    <w:rsid w:val="00955341"/>
    <w:rsid w:val="00964399"/>
    <w:rsid w:val="00964A45"/>
    <w:rsid w:val="00964A76"/>
    <w:rsid w:val="009A09E9"/>
    <w:rsid w:val="009B2F2B"/>
    <w:rsid w:val="009C12A9"/>
    <w:rsid w:val="009C6099"/>
    <w:rsid w:val="00A0275C"/>
    <w:rsid w:val="00A05E6A"/>
    <w:rsid w:val="00A255BB"/>
    <w:rsid w:val="00A45AB1"/>
    <w:rsid w:val="00A50E97"/>
    <w:rsid w:val="00A6669B"/>
    <w:rsid w:val="00A8544E"/>
    <w:rsid w:val="00A95395"/>
    <w:rsid w:val="00A96387"/>
    <w:rsid w:val="00AC1498"/>
    <w:rsid w:val="00AD6782"/>
    <w:rsid w:val="00AF4B96"/>
    <w:rsid w:val="00AF6F4F"/>
    <w:rsid w:val="00B070F6"/>
    <w:rsid w:val="00B27FCB"/>
    <w:rsid w:val="00B36B65"/>
    <w:rsid w:val="00B41027"/>
    <w:rsid w:val="00B732CF"/>
    <w:rsid w:val="00B73D94"/>
    <w:rsid w:val="00B8549F"/>
    <w:rsid w:val="00B91E28"/>
    <w:rsid w:val="00B93FA8"/>
    <w:rsid w:val="00B94753"/>
    <w:rsid w:val="00BB3616"/>
    <w:rsid w:val="00BC1499"/>
    <w:rsid w:val="00BF5D39"/>
    <w:rsid w:val="00C22100"/>
    <w:rsid w:val="00C36E2B"/>
    <w:rsid w:val="00C65BCA"/>
    <w:rsid w:val="00C67A0C"/>
    <w:rsid w:val="00C85CCF"/>
    <w:rsid w:val="00C85D67"/>
    <w:rsid w:val="00C93003"/>
    <w:rsid w:val="00CB3299"/>
    <w:rsid w:val="00CB7036"/>
    <w:rsid w:val="00CC6752"/>
    <w:rsid w:val="00CC7446"/>
    <w:rsid w:val="00CD1242"/>
    <w:rsid w:val="00CE5AEC"/>
    <w:rsid w:val="00CF5E95"/>
    <w:rsid w:val="00D161DB"/>
    <w:rsid w:val="00D22970"/>
    <w:rsid w:val="00D30380"/>
    <w:rsid w:val="00D4285C"/>
    <w:rsid w:val="00D5220E"/>
    <w:rsid w:val="00D6068C"/>
    <w:rsid w:val="00D86FF0"/>
    <w:rsid w:val="00D93B3E"/>
    <w:rsid w:val="00DC452B"/>
    <w:rsid w:val="00DF29EF"/>
    <w:rsid w:val="00E0142D"/>
    <w:rsid w:val="00E05C70"/>
    <w:rsid w:val="00E2615C"/>
    <w:rsid w:val="00E50261"/>
    <w:rsid w:val="00E5702E"/>
    <w:rsid w:val="00E579B5"/>
    <w:rsid w:val="00E70D09"/>
    <w:rsid w:val="00E72E4F"/>
    <w:rsid w:val="00E77298"/>
    <w:rsid w:val="00E95794"/>
    <w:rsid w:val="00E96D2C"/>
    <w:rsid w:val="00ED59F8"/>
    <w:rsid w:val="00F07456"/>
    <w:rsid w:val="00F24FF3"/>
    <w:rsid w:val="00F43DB3"/>
    <w:rsid w:val="00F748A2"/>
    <w:rsid w:val="00FC0946"/>
    <w:rsid w:val="00FF0FB2"/>
    <w:rsid w:val="00FF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DD0C63F-B869-4E55-BAC0-9F3E96BE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</cp:lastModifiedBy>
  <cp:revision>6</cp:revision>
  <cp:lastPrinted>2020-02-19T11:22:00Z</cp:lastPrinted>
  <dcterms:created xsi:type="dcterms:W3CDTF">2020-02-18T10:54:00Z</dcterms:created>
  <dcterms:modified xsi:type="dcterms:W3CDTF">2020-02-19T11:22:00Z</dcterms:modified>
</cp:coreProperties>
</file>