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368"/>
        <w:gridCol w:w="300"/>
        <w:gridCol w:w="380"/>
        <w:gridCol w:w="464"/>
        <w:gridCol w:w="386"/>
        <w:gridCol w:w="45"/>
        <w:gridCol w:w="1741"/>
        <w:gridCol w:w="14"/>
        <w:gridCol w:w="513"/>
        <w:gridCol w:w="297"/>
        <w:gridCol w:w="1170"/>
        <w:gridCol w:w="89"/>
        <w:gridCol w:w="553"/>
        <w:gridCol w:w="301"/>
        <w:gridCol w:w="227"/>
        <w:gridCol w:w="464"/>
        <w:gridCol w:w="1298"/>
      </w:tblGrid>
      <w:tr w:rsidR="00770CC7" w:rsidRPr="00B13E5C" w:rsidTr="00FA229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70CC7" w:rsidRPr="00B13E5C" w:rsidRDefault="00770CC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770CC7" w:rsidRPr="00C3047E" w:rsidRDefault="00770CC7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770CC7" w:rsidRPr="00C3047E" w:rsidRDefault="00770CC7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 in</w:t>
            </w:r>
          </w:p>
        </w:tc>
        <w:tc>
          <w:tcPr>
            <w:tcW w:w="2290" w:type="dxa"/>
            <w:gridSpan w:val="4"/>
            <w:vMerge w:val="restart"/>
            <w:vAlign w:val="center"/>
          </w:tcPr>
          <w:p w:rsidR="00770CC7" w:rsidRPr="00B13E5C" w:rsidRDefault="00770CC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CC7" w:rsidRPr="00B13E5C" w:rsidTr="00FA229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70CC7" w:rsidRPr="00B13E5C" w:rsidRDefault="00770CC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770CC7" w:rsidRPr="00C3047E" w:rsidRDefault="00770CC7" w:rsidP="006E4A3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 w:rsidR="000F123B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90" w:type="dxa"/>
            <w:gridSpan w:val="4"/>
            <w:vMerge/>
            <w:vAlign w:val="center"/>
          </w:tcPr>
          <w:p w:rsidR="00770CC7" w:rsidRPr="00B13E5C" w:rsidRDefault="00770CC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70CC7" w:rsidRPr="00B13E5C" w:rsidTr="002207C7">
        <w:trPr>
          <w:trHeight w:val="579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CC7" w:rsidRPr="00B13E5C" w:rsidRDefault="00770CC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:rsidR="00770CC7" w:rsidRPr="00C3047E" w:rsidRDefault="00770CC7" w:rsidP="006E4A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70CC7" w:rsidRPr="00C3047E" w:rsidRDefault="00770CC7" w:rsidP="006E4A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9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770CC7" w:rsidRPr="00B13E5C" w:rsidRDefault="00770CC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70CC7" w:rsidRPr="00B13E5C" w:rsidTr="00FA229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70CC7" w:rsidRPr="00770CC7" w:rsidRDefault="00770CC7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Ful subject title</w:t>
            </w:r>
          </w:p>
        </w:tc>
        <w:tc>
          <w:tcPr>
            <w:tcW w:w="7562" w:type="dxa"/>
            <w:gridSpan w:val="14"/>
            <w:vAlign w:val="center"/>
          </w:tcPr>
          <w:p w:rsidR="00770CC7" w:rsidRPr="00770CC7" w:rsidRDefault="009D2C98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FAMILY MEDICINE</w:t>
            </w:r>
          </w:p>
        </w:tc>
      </w:tr>
      <w:tr w:rsidR="00770CC7" w:rsidRPr="00B13E5C" w:rsidTr="00FA229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770CC7" w:rsidRDefault="00770CC7" w:rsidP="006E4A3A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62" w:type="dxa"/>
            <w:gridSpan w:val="14"/>
            <w:tcBorders>
              <w:bottom w:val="single" w:sz="4" w:space="0" w:color="auto"/>
            </w:tcBorders>
            <w:vAlign w:val="center"/>
          </w:tcPr>
          <w:p w:rsidR="00770CC7" w:rsidRPr="00B13E5C" w:rsidRDefault="00770CC7" w:rsidP="00770CC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Department for primary health care and public he</w:t>
            </w:r>
            <w:r w:rsidR="00C905EB">
              <w:rPr>
                <w:rFonts w:ascii="Arial Narrow" w:hAnsi="Arial Narrow" w:cs="Times New Roman"/>
                <w:sz w:val="20"/>
                <w:szCs w:val="20"/>
              </w:rPr>
              <w:t>alth, Faculty of Medicine in Foc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770CC7" w:rsidRPr="00B13E5C" w:rsidTr="00FA229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70CC7" w:rsidRPr="00770CC7" w:rsidRDefault="00770CC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70CC7" w:rsidRPr="00770CC7" w:rsidRDefault="00770CC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70CC7" w:rsidRPr="00770CC7" w:rsidRDefault="00770CC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90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70CC7" w:rsidRPr="00B13E5C" w:rsidRDefault="00770CC7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70CC7" w:rsidRPr="00B13E5C" w:rsidTr="00FA229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B13E5C" w:rsidRDefault="00770CC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B13E5C" w:rsidRDefault="00770CC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B13E5C" w:rsidRDefault="00770CC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B13E5C" w:rsidRDefault="00770CC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70CC7" w:rsidRPr="00B13E5C" w:rsidTr="00B13E5C">
        <w:trPr>
          <w:trHeight w:val="291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70CC7" w:rsidRPr="00B13E5C" w:rsidRDefault="00770CC7" w:rsidP="009D2C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МЕ-04-1-05</w:t>
            </w:r>
            <w:r w:rsidR="00F931D1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70CC7" w:rsidRPr="00770CC7" w:rsidRDefault="00770CC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70CC7" w:rsidRPr="00B13E5C" w:rsidRDefault="00770CC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</w:rPr>
              <w:t>XI</w:t>
            </w:r>
          </w:p>
        </w:tc>
        <w:tc>
          <w:tcPr>
            <w:tcW w:w="2290" w:type="dxa"/>
            <w:gridSpan w:val="4"/>
            <w:shd w:val="clear" w:color="auto" w:fill="auto"/>
            <w:vAlign w:val="center"/>
          </w:tcPr>
          <w:p w:rsidR="00770CC7" w:rsidRPr="00B13E5C" w:rsidRDefault="00770CC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8</w:t>
            </w:r>
          </w:p>
        </w:tc>
      </w:tr>
      <w:tr w:rsidR="00770CC7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70CC7" w:rsidRPr="00CF6D64" w:rsidRDefault="00770CC7" w:rsidP="006E4A3A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="000F12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42" w:type="dxa"/>
            <w:gridSpan w:val="15"/>
            <w:vAlign w:val="center"/>
          </w:tcPr>
          <w:p w:rsidR="00770CC7" w:rsidRPr="00B13E5C" w:rsidRDefault="00B74722" w:rsidP="00B7472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>ssoc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iate 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professor Larisa Gavran</w:t>
            </w:r>
            <w:r w:rsidR="00770CC7" w:rsidRPr="00B13E5C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770CC7">
              <w:rPr>
                <w:rFonts w:ascii="Arial Narrow" w:hAnsi="Arial Narrow" w:cs="Times New Roman"/>
                <w:sz w:val="20"/>
                <w:szCs w:val="20"/>
              </w:rPr>
              <w:t xml:space="preserve"> MD, PhD</w:t>
            </w:r>
            <w:r w:rsidR="00770CC7" w:rsidRPr="00B13E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A43A25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ssociate  professor Kosana Stanetić MD, PhD</w:t>
            </w:r>
          </w:p>
        </w:tc>
      </w:tr>
      <w:tr w:rsidR="00770CC7" w:rsidRPr="00B13E5C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CF6D64" w:rsidRDefault="00770CC7" w:rsidP="006E4A3A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="000F12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770CC7" w:rsidRPr="000F123B" w:rsidRDefault="00B74722" w:rsidP="00B67AD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senior assistant 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Је</w:t>
            </w:r>
            <w:r>
              <w:rPr>
                <w:rFonts w:ascii="Arial Narrow" w:hAnsi="Arial Narrow" w:cs="Times New Roman"/>
                <w:sz w:val="20"/>
                <w:szCs w:val="20"/>
              </w:rPr>
              <w:t>lena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Ма</w:t>
            </w:r>
            <w:r>
              <w:rPr>
                <w:rFonts w:ascii="Arial Narrow" w:hAnsi="Arial Narrow" w:cs="Times New Roman"/>
                <w:sz w:val="20"/>
                <w:szCs w:val="20"/>
              </w:rPr>
              <w:t>tović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MD ; c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>lin</w:t>
            </w:r>
            <w:r>
              <w:rPr>
                <w:rFonts w:ascii="Arial Narrow" w:hAnsi="Arial Narrow" w:cs="Times New Roman"/>
                <w:sz w:val="20"/>
                <w:szCs w:val="20"/>
              </w:rPr>
              <w:t>ical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assistant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>. Srebrenka Kusmuk</w:t>
            </w:r>
            <w:r w:rsidR="00770CC7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  <w:r w:rsidR="00770CC7">
              <w:rPr>
                <w:rFonts w:ascii="Arial Narrow" w:hAnsi="Arial Narrow" w:cs="Times New Roman"/>
                <w:sz w:val="20"/>
                <w:szCs w:val="20"/>
              </w:rPr>
              <w:t xml:space="preserve"> MD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770CC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clinical assistant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 xml:space="preserve"> Gorana Petković</w:t>
            </w:r>
            <w:r w:rsidR="00770CC7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 xml:space="preserve"> MD</w:t>
            </w:r>
            <w:r w:rsidR="00770CC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770CC7" w:rsidRPr="00B13E5C" w:rsidTr="00F551EC">
        <w:tc>
          <w:tcPr>
            <w:tcW w:w="469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4867A1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0F123B">
              <w:rPr>
                <w:rFonts w:ascii="Arial Narrow" w:eastAsia="Calibri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150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4867A1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7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CC7" w:rsidRPr="000F123B" w:rsidRDefault="000F123B" w:rsidP="000F12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770CC7" w:rsidRPr="00B13E5C" w:rsidTr="00F551EC">
        <w:tc>
          <w:tcPr>
            <w:tcW w:w="1368" w:type="dxa"/>
            <w:shd w:val="clear" w:color="auto" w:fill="F2F2F2" w:themeFill="background1" w:themeFillShade="F2"/>
            <w:vAlign w:val="center"/>
          </w:tcPr>
          <w:p w:rsidR="00770CC7" w:rsidRPr="004867A1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530" w:type="dxa"/>
            <w:gridSpan w:val="4"/>
            <w:shd w:val="clear" w:color="auto" w:fill="F2F2F2" w:themeFill="background1" w:themeFillShade="F2"/>
            <w:vAlign w:val="center"/>
          </w:tcPr>
          <w:p w:rsidR="00770CC7" w:rsidRPr="00667A01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800" w:type="dxa"/>
            <w:gridSpan w:val="3"/>
            <w:shd w:val="clear" w:color="auto" w:fill="F2F2F2" w:themeFill="background1" w:themeFillShade="F2"/>
            <w:vAlign w:val="center"/>
          </w:tcPr>
          <w:p w:rsidR="00770CC7" w:rsidRPr="009A1CDA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810" w:type="dxa"/>
            <w:gridSpan w:val="2"/>
            <w:shd w:val="clear" w:color="auto" w:fill="F2F2F2" w:themeFill="background1" w:themeFillShade="F2"/>
            <w:vAlign w:val="center"/>
          </w:tcPr>
          <w:p w:rsidR="00770CC7" w:rsidRPr="009A1CDA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770CC7" w:rsidRPr="00667A01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170" w:type="dxa"/>
            <w:gridSpan w:val="4"/>
            <w:shd w:val="clear" w:color="auto" w:fill="F2F2F2" w:themeFill="background1" w:themeFillShade="F2"/>
            <w:vAlign w:val="center"/>
          </w:tcPr>
          <w:p w:rsidR="00770CC7" w:rsidRPr="004867A1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762" w:type="dxa"/>
            <w:gridSpan w:val="2"/>
            <w:shd w:val="clear" w:color="auto" w:fill="F2F2F2" w:themeFill="background1" w:themeFillShade="F2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13E5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70CC7" w:rsidRPr="00B13E5C" w:rsidTr="00F551EC">
        <w:tc>
          <w:tcPr>
            <w:tcW w:w="1368" w:type="dxa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770CC7" w:rsidRPr="00B13E5C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70CC7" w:rsidRPr="00B13E5C" w:rsidTr="00F551EC">
        <w:tc>
          <w:tcPr>
            <w:tcW w:w="469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CC7" w:rsidRPr="00B13E5C" w:rsidRDefault="00770CC7" w:rsidP="00F551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770CC7" w:rsidRPr="00B13E5C" w:rsidRDefault="00770CC7" w:rsidP="00FA22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4*15+4*15+0*15=120</w:t>
            </w:r>
          </w:p>
        </w:tc>
        <w:tc>
          <w:tcPr>
            <w:tcW w:w="491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CC7" w:rsidRPr="00B13E5C" w:rsidRDefault="00770CC7" w:rsidP="00F551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770CC7" w:rsidRPr="00B13E5C" w:rsidRDefault="00770CC7" w:rsidP="00F551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4*15*1+4*15*1+0*15*1=120</w:t>
            </w:r>
          </w:p>
        </w:tc>
      </w:tr>
      <w:tr w:rsidR="00770CC7" w:rsidRPr="00B13E5C" w:rsidTr="00FA2295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CC7" w:rsidRPr="00770CC7" w:rsidRDefault="00770CC7" w:rsidP="006E4A3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): 120+120=240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770CC7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70CC7" w:rsidRPr="008D559C" w:rsidRDefault="008D559C" w:rsidP="006E4A3A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42" w:type="dxa"/>
            <w:gridSpan w:val="15"/>
            <w:vAlign w:val="center"/>
          </w:tcPr>
          <w:p w:rsidR="00770CC7" w:rsidRPr="00B13E5C" w:rsidRDefault="00770CC7" w:rsidP="006E4A3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Mastering the subject, </w:t>
            </w:r>
            <w:r w:rsidR="000F123B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student will be able</w:t>
            </w:r>
            <w:r w:rsidR="008D559C">
              <w:rPr>
                <w:rFonts w:ascii="Arial Narrow" w:hAnsi="Arial Narrow" w:cs="Times New Roman"/>
                <w:sz w:val="20"/>
                <w:szCs w:val="20"/>
              </w:rPr>
              <w:t xml:space="preserve"> to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770CC7" w:rsidRPr="00A430F6" w:rsidRDefault="000F123B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</w:t>
            </w:r>
            <w:r w:rsidR="00A430F6" w:rsidRPr="00A430F6">
              <w:rPr>
                <w:rFonts w:ascii="Arial Narrow" w:hAnsi="Arial Narrow" w:cs="Times New Roman"/>
                <w:sz w:val="20"/>
                <w:szCs w:val="20"/>
                <w:lang w:val="en-US"/>
              </w:rPr>
              <w:t>escribe working principles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as well as the model </w:t>
            </w:r>
            <w:r w:rsidR="00A430F6" w:rsidRPr="00A430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of  family medicine organization </w:t>
            </w:r>
          </w:p>
          <w:p w:rsidR="00770CC7" w:rsidRPr="00B13E5C" w:rsidRDefault="000F123B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</w:t>
            </w:r>
            <w:r w:rsidR="00A430F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escribe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the </w:t>
            </w:r>
            <w:r w:rsidR="00A430F6">
              <w:rPr>
                <w:rFonts w:ascii="Arial Narrow" w:hAnsi="Arial Narrow" w:cs="Times New Roman"/>
                <w:sz w:val="20"/>
                <w:szCs w:val="20"/>
                <w:lang w:val="en-US"/>
              </w:rPr>
              <w:t>characte</w:t>
            </w:r>
            <w:r w:rsidR="00802D79">
              <w:rPr>
                <w:rFonts w:ascii="Arial Narrow" w:hAnsi="Arial Narrow" w:cs="Times New Roman"/>
                <w:sz w:val="20"/>
                <w:szCs w:val="20"/>
                <w:lang w:val="en-US"/>
              </w:rPr>
              <w:t>ristics of biopsychosocial approach to the patient</w:t>
            </w:r>
            <w:r w:rsidR="00770CC7" w:rsidRPr="00A430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770CC7" w:rsidRPr="00B13E5C" w:rsidRDefault="00802D79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</w:t>
            </w:r>
            <w:r w:rsidR="000400CF">
              <w:rPr>
                <w:rFonts w:ascii="Arial Narrow" w:hAnsi="Arial Narrow" w:cs="Times New Roman"/>
                <w:sz w:val="20"/>
                <w:szCs w:val="20"/>
                <w:lang w:val="en-US"/>
              </w:rPr>
              <w:t>escribe the role of a family physician in the community and family</w:t>
            </w:r>
            <w:r w:rsidR="00770CC7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 w:rsidR="000400CF">
              <w:rPr>
                <w:rFonts w:ascii="Arial Narrow" w:hAnsi="Arial Narrow" w:cs="Times New Roman"/>
                <w:sz w:val="20"/>
                <w:szCs w:val="20"/>
                <w:lang w:val="en-US"/>
              </w:rPr>
              <w:t>the role of a gatekeeper and healthcare coordinator</w:t>
            </w:r>
            <w:r w:rsidR="00770CC7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</w:p>
          <w:p w:rsidR="00770CC7" w:rsidRPr="00B13E5C" w:rsidRDefault="008A304A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0400CF">
              <w:rPr>
                <w:rFonts w:ascii="Arial Narrow" w:hAnsi="Arial Narrow" w:cs="Times New Roman"/>
                <w:sz w:val="20"/>
                <w:szCs w:val="20"/>
                <w:lang w:val="en-US"/>
              </w:rPr>
              <w:t>ntegrate</w:t>
            </w:r>
            <w:r w:rsidR="001255C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previously acquired knowledge </w:t>
            </w:r>
            <w:r w:rsidR="000400C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and skills with the aim of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effective solving of </w:t>
            </w:r>
            <w:r w:rsidR="001255C9">
              <w:rPr>
                <w:rFonts w:ascii="Arial Narrow" w:hAnsi="Arial Narrow" w:cs="Times New Roman"/>
                <w:sz w:val="20"/>
                <w:szCs w:val="20"/>
                <w:lang w:val="en-US"/>
              </w:rPr>
              <w:t>unselective health problems</w:t>
            </w:r>
          </w:p>
          <w:p w:rsidR="00563EA6" w:rsidRPr="00563EA6" w:rsidRDefault="008A304A" w:rsidP="00563EA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1255C9">
              <w:rPr>
                <w:rFonts w:ascii="Arial Narrow" w:hAnsi="Arial Narrow" w:cs="Times New Roman"/>
                <w:sz w:val="20"/>
                <w:szCs w:val="20"/>
                <w:lang w:val="en-US"/>
              </w:rPr>
              <w:t>mplement</w:t>
            </w:r>
            <w:r w:rsidR="00563EA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</w:t>
            </w:r>
            <w:r w:rsidR="001255C9">
              <w:rPr>
                <w:rFonts w:ascii="Arial Narrow" w:hAnsi="Arial Narrow" w:cs="Times New Roman"/>
                <w:sz w:val="20"/>
                <w:szCs w:val="20"/>
                <w:lang w:val="en-US"/>
              </w:rPr>
              <w:t>health promotion and disease prevention</w:t>
            </w:r>
            <w:r w:rsidR="00563EA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563EA6" w:rsidRPr="008A304A">
              <w:rPr>
                <w:rFonts w:ascii="Arial Narrow" w:hAnsi="Arial Narrow" w:cs="Times New Roman"/>
                <w:sz w:val="20"/>
                <w:szCs w:val="20"/>
                <w:lang w:val="en-US"/>
              </w:rPr>
              <w:t>activities</w:t>
            </w:r>
            <w:r w:rsidR="001255C9" w:rsidRPr="008A304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w</w:t>
            </w:r>
            <w:r w:rsidR="001255C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ithin the context of family medicine </w:t>
            </w:r>
          </w:p>
          <w:p w:rsidR="00770CC7" w:rsidRPr="00B13E5C" w:rsidRDefault="00706350" w:rsidP="006E4A3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e</w:t>
            </w:r>
            <w:r w:rsidR="00563EA6">
              <w:rPr>
                <w:rFonts w:ascii="Arial Narrow" w:hAnsi="Arial Narrow" w:cs="Times New Roman"/>
                <w:sz w:val="20"/>
                <w:szCs w:val="20"/>
                <w:lang w:val="en-US"/>
              </w:rPr>
              <w:t>stablish the diagnosis and treat the most common c</w:t>
            </w:r>
            <w:r w:rsidR="006E4A3A">
              <w:rPr>
                <w:rFonts w:ascii="Arial Narrow" w:hAnsi="Arial Narrow" w:cs="Times New Roman"/>
                <w:sz w:val="20"/>
                <w:szCs w:val="20"/>
                <w:lang w:val="en-US"/>
              </w:rPr>
              <w:t>hronic</w:t>
            </w:r>
            <w:r w:rsidR="00563EA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disease</w:t>
            </w:r>
            <w:r w:rsidR="006E4A3A">
              <w:rPr>
                <w:rFonts w:ascii="Arial Narrow" w:hAnsi="Arial Narrow" w:cs="Times New Roman"/>
                <w:sz w:val="20"/>
                <w:szCs w:val="20"/>
                <w:lang w:val="en-US"/>
              </w:rPr>
              <w:t>s in PHC</w:t>
            </w:r>
            <w:r w:rsidR="00563EA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559C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D559C" w:rsidRPr="009A1CDA" w:rsidRDefault="008D559C" w:rsidP="006E4A3A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42" w:type="dxa"/>
            <w:gridSpan w:val="15"/>
            <w:vAlign w:val="center"/>
          </w:tcPr>
          <w:p w:rsidR="008D559C" w:rsidRPr="00AC1582" w:rsidRDefault="008D559C" w:rsidP="006E4A3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5 exams passed</w:t>
            </w:r>
          </w:p>
        </w:tc>
      </w:tr>
      <w:tr w:rsidR="008D559C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D559C" w:rsidRPr="008D559C" w:rsidRDefault="008D559C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42" w:type="dxa"/>
            <w:gridSpan w:val="15"/>
            <w:vAlign w:val="center"/>
          </w:tcPr>
          <w:p w:rsidR="008D559C" w:rsidRPr="006E4A3A" w:rsidRDefault="008D559C" w:rsidP="00A819E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exercises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mid-term exams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706350">
              <w:rPr>
                <w:rFonts w:ascii="Arial Narrow" w:hAnsi="Arial Narrow" w:cs="Times New Roman"/>
                <w:sz w:val="20"/>
                <w:szCs w:val="20"/>
              </w:rPr>
              <w:t xml:space="preserve">teaching </w:t>
            </w:r>
            <w:r w:rsidR="006E4A3A">
              <w:rPr>
                <w:rFonts w:ascii="Arial Narrow" w:hAnsi="Arial Narrow" w:cs="Times New Roman"/>
                <w:sz w:val="20"/>
                <w:szCs w:val="20"/>
                <w:lang w:val="en-US"/>
              </w:rPr>
              <w:t>consultations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E4A3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reports on students’ independent work </w:t>
            </w:r>
          </w:p>
        </w:tc>
      </w:tr>
      <w:tr w:rsidR="008D559C" w:rsidRPr="00B13E5C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559C" w:rsidRPr="00B13E5C" w:rsidRDefault="008D559C" w:rsidP="006E4A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8D559C" w:rsidRPr="008D559C" w:rsidRDefault="008D559C" w:rsidP="00F551E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</w:p>
          <w:p w:rsidR="008D559C" w:rsidRPr="00B13E5C" w:rsidRDefault="00E81BF9" w:rsidP="00E709D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Introduction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definition and organization of family medicine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continuity and complexity of healthcare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).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Patient-centered health care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sz w:val="20"/>
                <w:szCs w:val="20"/>
              </w:rPr>
              <w:t>communicating with a patient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quality basics and standards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). А</w:t>
            </w:r>
            <w:r>
              <w:rPr>
                <w:rFonts w:ascii="Arial Narrow" w:hAnsi="Arial Narrow" w:cs="Times New Roman"/>
                <w:sz w:val="20"/>
                <w:szCs w:val="20"/>
              </w:rPr>
              <w:t>ltruism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е</w:t>
            </w:r>
            <w:r>
              <w:rPr>
                <w:rFonts w:ascii="Arial Narrow" w:hAnsi="Arial Narrow" w:cs="Times New Roman"/>
                <w:sz w:val="20"/>
                <w:szCs w:val="20"/>
              </w:rPr>
              <w:t>thical behavior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empathy, medical record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SoPP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notes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D559C" w:rsidRPr="00B13E5C" w:rsidRDefault="005276E6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Work in a community and family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Paliative care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Breaking bad news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AB28FA">
              <w:rPr>
                <w:rFonts w:ascii="Arial Narrow" w:hAnsi="Arial Narrow" w:cs="Times New Roman"/>
                <w:sz w:val="20"/>
                <w:szCs w:val="20"/>
              </w:rPr>
              <w:t xml:space="preserve"> Family viole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nce;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4E528E" w:rsidRDefault="005276E6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4E528E">
              <w:rPr>
                <w:rFonts w:ascii="Arial Narrow" w:hAnsi="Arial Narrow" w:cs="Times New Roman"/>
                <w:sz w:val="20"/>
                <w:szCs w:val="20"/>
              </w:rPr>
              <w:t xml:space="preserve">Prevention of cardiovascular and malignant diseases in family medicine </w:t>
            </w:r>
            <w:r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(</w:t>
            </w:r>
            <w:r w:rsidRPr="004E528E">
              <w:rPr>
                <w:rFonts w:ascii="Arial Narrow" w:hAnsi="Arial Narrow" w:cs="Times New Roman"/>
                <w:sz w:val="20"/>
                <w:szCs w:val="20"/>
              </w:rPr>
              <w:t>Types of prevention,</w:t>
            </w:r>
            <w:r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4E528E">
              <w:rPr>
                <w:rFonts w:ascii="Arial Narrow" w:hAnsi="Arial Narrow" w:cs="Times New Roman"/>
                <w:sz w:val="20"/>
                <w:szCs w:val="20"/>
              </w:rPr>
              <w:t>quaternary prevention</w:t>
            </w:r>
            <w:r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="00AB28FA">
              <w:rPr>
                <w:rFonts w:ascii="Arial Narrow" w:hAnsi="Arial Narrow" w:cs="Times New Roman"/>
                <w:sz w:val="20"/>
                <w:szCs w:val="20"/>
              </w:rPr>
              <w:t>scree</w:t>
            </w:r>
            <w:r w:rsidRPr="004E528E">
              <w:rPr>
                <w:rFonts w:ascii="Arial Narrow" w:hAnsi="Arial Narrow" w:cs="Times New Roman"/>
                <w:sz w:val="20"/>
                <w:szCs w:val="20"/>
              </w:rPr>
              <w:t>ning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). </w:t>
            </w:r>
            <w:r w:rsidRPr="004E528E">
              <w:rPr>
                <w:rFonts w:ascii="Arial Narrow" w:hAnsi="Arial Narrow" w:cs="Times New Roman"/>
                <w:sz w:val="20"/>
                <w:szCs w:val="20"/>
              </w:rPr>
              <w:t>Assessment of total cardiovascular risk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Pr="004E528E">
              <w:rPr>
                <w:rFonts w:ascii="Arial Narrow" w:hAnsi="Arial Narrow" w:cs="Times New Roman"/>
                <w:sz w:val="20"/>
                <w:szCs w:val="20"/>
              </w:rPr>
              <w:t xml:space="preserve"> Health assessment and promotion </w:t>
            </w:r>
            <w:r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(</w:t>
            </w:r>
            <w:r w:rsidRPr="004E528E">
              <w:rPr>
                <w:rFonts w:ascii="Arial Narrow" w:hAnsi="Arial Narrow" w:cs="Times New Roman"/>
                <w:sz w:val="20"/>
                <w:szCs w:val="20"/>
              </w:rPr>
              <w:t>education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health education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="004E528E" w:rsidRPr="004E528E">
              <w:rPr>
                <w:rFonts w:ascii="Arial Narrow" w:hAnsi="Arial Narrow" w:cs="Times New Roman"/>
                <w:sz w:val="20"/>
                <w:szCs w:val="20"/>
              </w:rPr>
              <w:t>physical activity promotion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</w:t>
            </w:r>
            <w:r w:rsidR="004E528E" w:rsidRPr="004E528E">
              <w:rPr>
                <w:rFonts w:ascii="Arial Narrow" w:hAnsi="Arial Narrow" w:cs="Times New Roman"/>
                <w:sz w:val="20"/>
                <w:szCs w:val="20"/>
              </w:rPr>
              <w:t xml:space="preserve"> health maintenance</w:t>
            </w:r>
            <w:r w:rsidR="004E528E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). </w:t>
            </w:r>
            <w:r w:rsidR="004E528E" w:rsidRPr="004E528E">
              <w:rPr>
                <w:rFonts w:ascii="Arial Narrow" w:hAnsi="Arial Narrow" w:cs="Times New Roman"/>
                <w:sz w:val="20"/>
                <w:szCs w:val="20"/>
              </w:rPr>
              <w:t>Monitor</w:t>
            </w:r>
            <w:r w:rsidR="00421894">
              <w:rPr>
                <w:rFonts w:ascii="Arial Narrow" w:hAnsi="Arial Narrow" w:cs="Times New Roman"/>
                <w:sz w:val="20"/>
                <w:szCs w:val="20"/>
              </w:rPr>
              <w:t>ing and evaluation of preventive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 xml:space="preserve"> services;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  <w:p w:rsidR="008D559C" w:rsidRPr="00B13E5C" w:rsidRDefault="004E528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Detection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="00E93E0F">
              <w:rPr>
                <w:rFonts w:ascii="Arial Narrow" w:hAnsi="Arial Narrow" w:cs="Times New Roman"/>
                <w:sz w:val="20"/>
                <w:szCs w:val="20"/>
              </w:rPr>
              <w:t>medical records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and treatment of hypertension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Detection,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medical records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and treatment of diabetes. 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(</w:t>
            </w:r>
            <w:r>
              <w:rPr>
                <w:rFonts w:ascii="Arial Narrow" w:hAnsi="Arial Narrow" w:cs="Times New Roman"/>
                <w:sz w:val="20"/>
                <w:szCs w:val="20"/>
              </w:rPr>
              <w:t>scrining for chronic complications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healthcare planning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team care</w:t>
            </w:r>
            <w:r w:rsidR="00E02BB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)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8D559C" w:rsidRPr="004E528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5A4388" w:rsidRPr="005A4388" w:rsidRDefault="005A4388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A4388">
              <w:rPr>
                <w:rFonts w:ascii="Arial Narrow" w:hAnsi="Arial Narrow" w:cs="Times New Roman"/>
                <w:sz w:val="20"/>
                <w:szCs w:val="20"/>
              </w:rPr>
              <w:t xml:space="preserve">Detection,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medical records</w:t>
            </w:r>
            <w:r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5A4388">
              <w:rPr>
                <w:rFonts w:ascii="Arial Narrow" w:hAnsi="Arial Narrow" w:cs="Times New Roman"/>
                <w:sz w:val="20"/>
                <w:szCs w:val="20"/>
              </w:rPr>
              <w:t>and treatment of</w:t>
            </w:r>
            <w:r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5A4388">
              <w:rPr>
                <w:rFonts w:ascii="Arial Narrow" w:hAnsi="Arial Narrow" w:cs="Times New Roman"/>
                <w:sz w:val="20"/>
                <w:szCs w:val="20"/>
              </w:rPr>
              <w:t>dyslipidemia</w:t>
            </w:r>
            <w:r w:rsidR="008D559C"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Pr="005A4388">
              <w:rPr>
                <w:rFonts w:ascii="Arial Narrow" w:hAnsi="Arial Narrow" w:cs="Times New Roman"/>
                <w:sz w:val="20"/>
                <w:szCs w:val="20"/>
              </w:rPr>
              <w:t xml:space="preserve"> Smoking cessation.</w:t>
            </w:r>
            <w:r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Мо</w:t>
            </w:r>
            <w:r w:rsidRPr="005A4388">
              <w:rPr>
                <w:rFonts w:ascii="Arial Narrow" w:hAnsi="Arial Narrow" w:cs="Times New Roman"/>
                <w:sz w:val="20"/>
                <w:szCs w:val="20"/>
              </w:rPr>
              <w:t>tivational interviewing</w:t>
            </w:r>
            <w:r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5A4388">
              <w:rPr>
                <w:rFonts w:ascii="Arial Narrow" w:hAnsi="Arial Narrow" w:cs="Times New Roman"/>
                <w:sz w:val="20"/>
                <w:szCs w:val="20"/>
              </w:rPr>
              <w:t>Prevention and treatment of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 xml:space="preserve"> obesity in children and adults;</w:t>
            </w:r>
            <w:r w:rsidRPr="005A43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D559C"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  <w:p w:rsidR="008D559C" w:rsidRPr="005A4388" w:rsidRDefault="00421894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Approach to the</w:t>
            </w:r>
            <w:r w:rsidR="0018087E">
              <w:rPr>
                <w:rFonts w:ascii="Arial Narrow" w:hAnsi="Arial Narrow" w:cs="Times New Roman"/>
                <w:sz w:val="20"/>
                <w:szCs w:val="20"/>
              </w:rPr>
              <w:t xml:space="preserve"> geriatric patient.</w:t>
            </w:r>
            <w:r w:rsidR="008D559C"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18087E">
              <w:rPr>
                <w:rFonts w:ascii="Arial Narrow" w:hAnsi="Arial Narrow" w:cs="Times New Roman"/>
                <w:sz w:val="20"/>
                <w:szCs w:val="20"/>
              </w:rPr>
              <w:t>Comprehensive geriatric assessment</w:t>
            </w:r>
            <w:r w:rsidR="008D559C"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(</w:t>
            </w:r>
            <w:r w:rsidR="0018087E">
              <w:rPr>
                <w:rFonts w:ascii="Arial Narrow" w:hAnsi="Arial Narrow" w:cs="Times New Roman"/>
                <w:sz w:val="20"/>
                <w:szCs w:val="20"/>
              </w:rPr>
              <w:t>multidisciplinary team</w:t>
            </w:r>
            <w:r w:rsidR="008D559C"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). </w:t>
            </w:r>
            <w:r w:rsidR="0018087E">
              <w:rPr>
                <w:rFonts w:ascii="Arial Narrow" w:hAnsi="Arial Narrow" w:cs="Times New Roman"/>
                <w:sz w:val="20"/>
                <w:szCs w:val="20"/>
              </w:rPr>
              <w:t xml:space="preserve">The most common health problems in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18087E">
              <w:rPr>
                <w:rFonts w:ascii="Arial Narrow" w:hAnsi="Arial Narrow" w:cs="Times New Roman"/>
                <w:sz w:val="20"/>
                <w:szCs w:val="20"/>
              </w:rPr>
              <w:t>elderly people.</w:t>
            </w:r>
            <w:r w:rsidR="0018087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18087E">
              <w:rPr>
                <w:rFonts w:ascii="Arial Narrow" w:hAnsi="Arial Narrow" w:cs="Times New Roman"/>
                <w:sz w:val="20"/>
                <w:szCs w:val="20"/>
              </w:rPr>
              <w:t>Polypharmacy</w:t>
            </w:r>
            <w:r w:rsidR="008D559C" w:rsidRPr="005A438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Fall prevention;</w:t>
            </w:r>
          </w:p>
          <w:p w:rsidR="008D559C" w:rsidRPr="00B13E5C" w:rsidRDefault="0018087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Characteristics of adolescent medical care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ЕА</w:t>
            </w:r>
            <w:r>
              <w:rPr>
                <w:rFonts w:ascii="Arial Narrow" w:hAnsi="Arial Narrow" w:cs="Times New Roman"/>
                <w:sz w:val="20"/>
                <w:szCs w:val="20"/>
              </w:rPr>
              <w:t>DDS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protocol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Nutrition disorders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Health maintenance;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18087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The most common cardiovascular diseases in family medicine </w:t>
            </w:r>
            <w:r w:rsidR="0037090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(</w:t>
            </w:r>
            <w:r w:rsidR="00370908">
              <w:rPr>
                <w:rFonts w:ascii="Arial Narrow" w:hAnsi="Arial Narrow" w:cs="Times New Roman"/>
                <w:sz w:val="20"/>
                <w:szCs w:val="20"/>
              </w:rPr>
              <w:t>differential diagnosis of chest pain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="00370908">
              <w:rPr>
                <w:rFonts w:ascii="Arial Narrow" w:hAnsi="Arial Narrow" w:cs="Times New Roman"/>
                <w:sz w:val="20"/>
                <w:szCs w:val="20"/>
              </w:rPr>
              <w:t xml:space="preserve"> dyspnea, coronary heart disease</w:t>
            </w:r>
            <w:r w:rsidR="003709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370908">
              <w:rPr>
                <w:rFonts w:ascii="Arial Narrow" w:hAnsi="Arial Narrow" w:cs="Times New Roman"/>
                <w:sz w:val="20"/>
                <w:szCs w:val="20"/>
              </w:rPr>
              <w:t xml:space="preserve"> congestive heart failure)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D559C" w:rsidRPr="00B13E5C" w:rsidRDefault="00370908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The most common diseases of respiratory trac</w:t>
            </w:r>
            <w:r w:rsidR="00421894">
              <w:rPr>
                <w:rFonts w:ascii="Arial Narrow" w:hAnsi="Arial Narrow" w:cs="Times New Roman"/>
                <w:sz w:val="20"/>
                <w:szCs w:val="20"/>
              </w:rPr>
              <w:t xml:space="preserve">t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>persistent caug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COPD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asthma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community-acquired pneumonia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D559C" w:rsidRPr="00B13E5C" w:rsidRDefault="00370908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The most common diseases of urogenital system</w:t>
            </w:r>
            <w:r w:rsidR="0042189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>dysuria, urinary</w:t>
            </w:r>
            <w:r w:rsidR="00421894">
              <w:rPr>
                <w:rFonts w:ascii="Arial Narrow" w:hAnsi="Arial Narrow" w:cs="Times New Roman"/>
                <w:sz w:val="20"/>
                <w:szCs w:val="20"/>
              </w:rPr>
              <w:t xml:space="preserve"> tract infections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rational use of antibiotic</w:t>
            </w:r>
            <w:r w:rsidR="00CA66B8">
              <w:rPr>
                <w:rFonts w:ascii="Arial Narrow" w:hAnsi="Arial Narrow" w:cs="Times New Roman"/>
                <w:sz w:val="20"/>
                <w:szCs w:val="20"/>
              </w:rPr>
              <w:t>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urinary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incontinence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vaginitis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chronic kidney disease, pelvic pain</w:t>
            </w:r>
            <w:r w:rsidR="00E02BB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D559C" w:rsidRPr="00B13E5C" w:rsidRDefault="009B42A4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Musculosceletal problems in family medicine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</w:t>
            </w:r>
            <w:r>
              <w:rPr>
                <w:rFonts w:ascii="Arial Narrow" w:hAnsi="Arial Narrow" w:cs="Times New Roman"/>
                <w:sz w:val="20"/>
                <w:szCs w:val="20"/>
              </w:rPr>
              <w:t>steoporosis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9B42A4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osteoarthritis</w:t>
            </w:r>
            <w:r w:rsidR="008D559C" w:rsidRPr="009B42A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A66B8">
              <w:rPr>
                <w:rFonts w:ascii="Arial Narrow" w:hAnsi="Arial Narrow" w:cs="Times New Roman"/>
                <w:sz w:val="20"/>
                <w:szCs w:val="20"/>
              </w:rPr>
              <w:t>neck, shoulder,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A66B8">
              <w:rPr>
                <w:rFonts w:ascii="Arial Narrow" w:hAnsi="Arial Narrow" w:cs="Times New Roman"/>
                <w:sz w:val="20"/>
                <w:szCs w:val="20"/>
              </w:rPr>
              <w:t xml:space="preserve">hip, </w:t>
            </w:r>
            <w:r>
              <w:rPr>
                <w:rFonts w:ascii="Arial Narrow" w:hAnsi="Arial Narrow" w:cs="Times New Roman"/>
                <w:sz w:val="20"/>
                <w:szCs w:val="20"/>
              </w:rPr>
              <w:t>back</w:t>
            </w:r>
            <w:r w:rsidR="00CA66B8">
              <w:rPr>
                <w:rFonts w:ascii="Arial Narrow" w:hAnsi="Arial Narrow" w:cs="Times New Roman"/>
                <w:sz w:val="20"/>
                <w:szCs w:val="20"/>
              </w:rPr>
              <w:t xml:space="preserve"> and </w:t>
            </w:r>
            <w:r>
              <w:rPr>
                <w:rFonts w:ascii="Arial Narrow" w:hAnsi="Arial Narrow" w:cs="Times New Roman"/>
                <w:sz w:val="20"/>
                <w:szCs w:val="20"/>
              </w:rPr>
              <w:t>hand pain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lower extremity problems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D559C" w:rsidRPr="00B13E5C" w:rsidRDefault="009B42A4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The m</w:t>
            </w:r>
            <w:r w:rsidR="00CA66B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st common presenting problems in family medicine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>weight loss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tiredness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swelling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abdominal pain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epigestric pain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headache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vertigo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febrility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).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edically unexplained conditions;</w:t>
            </w:r>
          </w:p>
          <w:p w:rsidR="008D559C" w:rsidRPr="00B13E5C" w:rsidRDefault="00CA66B8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>ental status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assessment 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 xml:space="preserve"> in family medicine.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Approach to the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 xml:space="preserve"> patient with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mental illness. 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>Depression and dysthimia</w:t>
            </w:r>
            <w:r w:rsidR="006C7E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>Anxiety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C7ED6">
              <w:rPr>
                <w:rFonts w:ascii="Arial Narrow" w:hAnsi="Arial Narrow" w:cs="Times New Roman"/>
                <w:sz w:val="20"/>
                <w:szCs w:val="20"/>
              </w:rPr>
              <w:t>The disease of addicti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on;</w:t>
            </w:r>
          </w:p>
          <w:p w:rsidR="008D559C" w:rsidRPr="00B13E5C" w:rsidRDefault="006C7ED6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Difficult patient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Professionalism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Patient safety</w:t>
            </w:r>
            <w:r w:rsidR="008112E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Medical errors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The prac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tice of evidence-based medicine;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AB28FA" w:rsidRDefault="005B516D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Common skin problems in PHC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(</w:t>
            </w:r>
            <w:r>
              <w:rPr>
                <w:rFonts w:ascii="Arial Narrow" w:hAnsi="Arial Narrow" w:cs="Times New Roman"/>
                <w:sz w:val="20"/>
                <w:szCs w:val="20"/>
              </w:rPr>
              <w:t>impetico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herpes zoster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="008112EE">
              <w:rPr>
                <w:rFonts w:ascii="Arial Narrow" w:hAnsi="Arial Narrow" w:cs="Times New Roman"/>
                <w:sz w:val="20"/>
                <w:szCs w:val="20"/>
              </w:rPr>
              <w:t>viral exantem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).</w:t>
            </w:r>
            <w:r w:rsidR="00AB28FA">
              <w:rPr>
                <w:rFonts w:ascii="Arial Narrow" w:hAnsi="Arial Narrow" w:cs="Times New Roman"/>
                <w:sz w:val="20"/>
                <w:szCs w:val="20"/>
              </w:rPr>
              <w:t xml:space="preserve"> Chronic wound management. Bites. </w:t>
            </w:r>
          </w:p>
          <w:p w:rsidR="00AB28FA" w:rsidRPr="00B13E5C" w:rsidRDefault="00AB28FA" w:rsidP="00AB28FA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8D559C" w:rsidRPr="008D559C" w:rsidRDefault="008D559C" w:rsidP="00F551E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Exercises</w:t>
            </w:r>
          </w:p>
          <w:p w:rsidR="008D559C" w:rsidRPr="00B13E5C" w:rsidRDefault="008112EE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Communication skills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Communication challenges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Medical record keeping;</w:t>
            </w:r>
          </w:p>
          <w:p w:rsidR="008D559C" w:rsidRPr="00B13E5C" w:rsidRDefault="00E93E0F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Family v</w:t>
            </w:r>
            <w:r w:rsidR="00AB28FA">
              <w:rPr>
                <w:rFonts w:ascii="Arial Narrow" w:hAnsi="Arial Narrow" w:cs="Times New Roman"/>
                <w:sz w:val="20"/>
                <w:szCs w:val="20"/>
              </w:rPr>
              <w:t>iole</w:t>
            </w:r>
            <w:r>
              <w:rPr>
                <w:rFonts w:ascii="Arial Narrow" w:hAnsi="Arial Narrow" w:cs="Times New Roman"/>
                <w:sz w:val="20"/>
                <w:szCs w:val="20"/>
              </w:rPr>
              <w:t>nce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Pal</w:t>
            </w:r>
            <w:r w:rsidR="00200050">
              <w:rPr>
                <w:rFonts w:ascii="Arial Narrow" w:hAnsi="Arial Narrow" w:cs="Times New Roman"/>
                <w:sz w:val="20"/>
                <w:szCs w:val="20"/>
              </w:rPr>
              <w:t>l</w:t>
            </w:r>
            <w:r>
              <w:rPr>
                <w:rFonts w:ascii="Arial Narrow" w:hAnsi="Arial Narrow" w:cs="Times New Roman"/>
                <w:sz w:val="20"/>
                <w:szCs w:val="20"/>
              </w:rPr>
              <w:t>iative care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Breaking bad news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Home treatment;</w:t>
            </w:r>
          </w:p>
          <w:p w:rsidR="008D559C" w:rsidRPr="00B13E5C" w:rsidRDefault="00AB28FA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Screening for</w:t>
            </w:r>
            <w:r w:rsidR="00E93E0F">
              <w:rPr>
                <w:rFonts w:ascii="Arial Narrow" w:hAnsi="Arial Narrow" w:cs="Times New Roman"/>
                <w:sz w:val="20"/>
                <w:szCs w:val="20"/>
              </w:rPr>
              <w:t xml:space="preserve"> breast, cervical, prostate and colon cancer.</w:t>
            </w:r>
            <w:r w:rsidR="00E93E0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93E0F">
              <w:rPr>
                <w:rFonts w:ascii="Arial Narrow" w:hAnsi="Arial Narrow" w:cs="Times New Roman"/>
                <w:sz w:val="20"/>
                <w:szCs w:val="20"/>
              </w:rPr>
              <w:t>Assessment of total cardiovascular risk.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E93E0F">
              <w:rPr>
                <w:rFonts w:ascii="Arial Narrow" w:hAnsi="Arial Narrow" w:cs="Times New Roman"/>
                <w:sz w:val="20"/>
                <w:szCs w:val="20"/>
              </w:rPr>
              <w:t>Prevention p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lanning in family medicine team;</w:t>
            </w:r>
            <w:r w:rsidR="00E93E0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551583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Treatment of </w:t>
            </w:r>
            <w:r w:rsidR="00AB28FA">
              <w:rPr>
                <w:rFonts w:ascii="Arial Narrow" w:hAnsi="Arial Narrow" w:cs="Times New Roman"/>
                <w:sz w:val="20"/>
                <w:szCs w:val="20"/>
              </w:rPr>
              <w:t>the patient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with hypertension. Treatment of </w:t>
            </w:r>
            <w:r w:rsidR="00AB28FA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patient with diabetes;</w:t>
            </w:r>
          </w:p>
          <w:p w:rsidR="008D559C" w:rsidRPr="00B13E5C" w:rsidRDefault="00551583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Methods of smoking cessation and motivational interviewing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Treatment of </w:t>
            </w:r>
            <w:r w:rsidR="008F3344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patient with dyslipidemia;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551583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Comprehensive geriatric assessm</w:t>
            </w:r>
            <w:r w:rsidR="008F3344">
              <w:rPr>
                <w:rFonts w:ascii="Arial Narrow" w:hAnsi="Arial Narrow" w:cs="Times New Roman"/>
                <w:sz w:val="20"/>
                <w:szCs w:val="20"/>
              </w:rPr>
              <w:t>ent. Fall prevention. Medical ma</w:t>
            </w:r>
            <w:r>
              <w:rPr>
                <w:rFonts w:ascii="Arial Narrow" w:hAnsi="Arial Narrow" w:cs="Times New Roman"/>
                <w:sz w:val="20"/>
                <w:szCs w:val="20"/>
              </w:rPr>
              <w:t>nagement of constipation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Preventing polypharmacy;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551583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Adolescent health maintenance.</w:t>
            </w:r>
            <w:r w:rsidR="0022575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 xml:space="preserve">Preventive methods </w:t>
            </w:r>
            <w:r w:rsidR="00436154">
              <w:rPr>
                <w:rFonts w:ascii="Arial Narrow" w:hAnsi="Arial Narrow" w:cs="Times New Roman"/>
                <w:sz w:val="20"/>
                <w:szCs w:val="20"/>
              </w:rPr>
              <w:t>and</w:t>
            </w:r>
            <w:r w:rsidR="0043615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3344">
              <w:rPr>
                <w:rFonts w:ascii="Arial Narrow" w:hAnsi="Arial Narrow" w:cs="Times New Roman"/>
                <w:sz w:val="20"/>
                <w:szCs w:val="20"/>
              </w:rPr>
              <w:t>scree</w:t>
            </w:r>
            <w:r w:rsidR="00436154">
              <w:rPr>
                <w:rFonts w:ascii="Arial Narrow" w:hAnsi="Arial Narrow" w:cs="Times New Roman"/>
                <w:sz w:val="20"/>
                <w:szCs w:val="20"/>
              </w:rPr>
              <w:t>ning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43615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DC2177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P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 xml:space="preserve">atient with chect pain. Treatment of </w:t>
            </w:r>
            <w:r w:rsidR="008F3344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>pati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ent with coronary heart disease;</w:t>
            </w:r>
          </w:p>
          <w:p w:rsidR="008D559C" w:rsidRPr="00B13E5C" w:rsidRDefault="00DC2177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 xml:space="preserve">atient with asthma. </w:t>
            </w:r>
            <w:r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atient with COPD;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DC2177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 xml:space="preserve">atient </w:t>
            </w:r>
            <w:r w:rsidR="00EC5372">
              <w:rPr>
                <w:rFonts w:ascii="Arial Narrow" w:hAnsi="Arial Narrow" w:cs="Times New Roman"/>
                <w:sz w:val="20"/>
                <w:szCs w:val="20"/>
              </w:rPr>
              <w:t>with uncomplicated urinary trac</w:t>
            </w:r>
            <w:r w:rsidR="00225754">
              <w:rPr>
                <w:rFonts w:ascii="Arial Narrow" w:hAnsi="Arial Narrow" w:cs="Times New Roman"/>
                <w:sz w:val="20"/>
                <w:szCs w:val="20"/>
              </w:rPr>
              <w:t>t infection</w:t>
            </w:r>
            <w:r w:rsidR="00EC5372">
              <w:rPr>
                <w:rFonts w:ascii="Arial Narrow" w:hAnsi="Arial Narrow" w:cs="Times New Roman"/>
                <w:sz w:val="20"/>
                <w:szCs w:val="20"/>
              </w:rPr>
              <w:t>s. Diagnosis and treatment of obstructive uropathy</w:t>
            </w:r>
            <w:r w:rsidR="00EC53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EC5372">
              <w:rPr>
                <w:rFonts w:ascii="Arial Narrow" w:hAnsi="Arial Narrow" w:cs="Times New Roman"/>
                <w:sz w:val="20"/>
                <w:szCs w:val="20"/>
              </w:rPr>
              <w:t xml:space="preserve"> Diagnosis and treatment of urinary i</w:t>
            </w:r>
            <w:r w:rsidR="00E02BB6">
              <w:rPr>
                <w:rFonts w:ascii="Arial Narrow" w:hAnsi="Arial Narrow" w:cs="Times New Roman"/>
                <w:sz w:val="20"/>
                <w:szCs w:val="20"/>
              </w:rPr>
              <w:t>ncontinence. Genital infections;</w:t>
            </w:r>
            <w:r w:rsidR="00EC537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D559C" w:rsidRPr="00B13E5C" w:rsidRDefault="001B3585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Patient with back pain. Patient with shoulder pain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Patient with hand pain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E02BB6">
              <w:rPr>
                <w:rFonts w:ascii="Arial Narrow" w:hAnsi="Arial Narrow" w:cs="Times New Roman"/>
                <w:sz w:val="20"/>
                <w:szCs w:val="20"/>
                <w:lang w:val="en-US"/>
              </w:rPr>
              <w:t>The musculoskeletal examination;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D559C" w:rsidRPr="00B13E5C" w:rsidRDefault="001B3585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Medically unexplained conditions. The neurological examination.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C2177">
              <w:rPr>
                <w:rFonts w:ascii="Arial Narrow" w:hAnsi="Arial Narrow" w:cs="Times New Roman"/>
                <w:sz w:val="20"/>
                <w:szCs w:val="20"/>
                <w:lang w:val="en-US"/>
              </w:rPr>
              <w:t>The cardiovascular examination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The pulmonary examination. The abdominal examination.</w:t>
            </w:r>
            <w:r w:rsidR="00E02BB6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Specific clinical tests;</w:t>
            </w:r>
            <w:r w:rsidR="00540BD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540B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540BD4" w:rsidRPr="00540BD4" w:rsidRDefault="00DC2177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M</w:t>
            </w:r>
            <w:r w:rsidR="00540BD4" w:rsidRPr="00540BD4">
              <w:rPr>
                <w:rFonts w:ascii="Arial Narrow" w:hAnsi="Arial Narrow" w:cs="Times New Roman"/>
                <w:sz w:val="20"/>
                <w:szCs w:val="20"/>
                <w:lang w:val="en-US"/>
              </w:rPr>
              <w:t>ental status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assessment </w:t>
            </w:r>
            <w:r w:rsidR="00540BD4" w:rsidRPr="00540BD4">
              <w:rPr>
                <w:rFonts w:ascii="Arial Narrow" w:hAnsi="Arial Narrow" w:cs="Times New Roman"/>
                <w:sz w:val="20"/>
                <w:szCs w:val="20"/>
                <w:lang w:val="en-US"/>
              </w:rPr>
              <w:t>in family medicine.</w:t>
            </w:r>
            <w:r w:rsidR="008D559C" w:rsidRPr="00540B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40BD4" w:rsidRPr="00540BD4">
              <w:rPr>
                <w:rFonts w:ascii="Arial Narrow" w:hAnsi="Arial Narrow" w:cs="Times New Roman"/>
                <w:sz w:val="20"/>
                <w:szCs w:val="20"/>
                <w:lang w:val="en-US"/>
              </w:rPr>
              <w:t>Patient with depression. Alcohol addiction assessment. Patient wi</w:t>
            </w:r>
            <w:r w:rsidR="00E02BB6">
              <w:rPr>
                <w:rFonts w:ascii="Arial Narrow" w:hAnsi="Arial Narrow" w:cs="Times New Roman"/>
                <w:sz w:val="20"/>
                <w:szCs w:val="20"/>
                <w:lang w:val="en-US"/>
              </w:rPr>
              <w:t>th generalized anxiety disorder;</w:t>
            </w:r>
            <w:r w:rsidR="00540BD4" w:rsidRPr="00540BD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8D559C" w:rsidRPr="00540B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D559C" w:rsidRPr="00540BD4" w:rsidRDefault="00540BD4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Difficult patient</w:t>
            </w:r>
            <w:r w:rsidR="008D559C" w:rsidRPr="00540B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Patient safety</w:t>
            </w:r>
            <w:r w:rsidR="008D559C" w:rsidRPr="00540B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Evidence-based medicine</w:t>
            </w:r>
            <w:r w:rsidR="00E02BB6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</w:p>
          <w:p w:rsidR="008D559C" w:rsidRPr="00B13E5C" w:rsidRDefault="00540BD4" w:rsidP="00BF1B9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Treatment of chronic wounds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Treatment of </w:t>
            </w:r>
            <w:r w:rsidR="003F42C9">
              <w:rPr>
                <w:rFonts w:ascii="Arial Narrow" w:hAnsi="Arial Narrow" w:cs="Times New Roman"/>
                <w:sz w:val="20"/>
                <w:szCs w:val="20"/>
              </w:rPr>
              <w:t>the most common skin problems in PHC.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8D559C" w:rsidRPr="00B13E5C" w:rsidTr="00FA2295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559C" w:rsidRPr="00D91E60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8D559C" w:rsidRPr="00B13E5C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D559C" w:rsidRPr="00D91E60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C0795A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D559C" w:rsidRPr="00D91E60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D559C" w:rsidRPr="00D91E60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D559C" w:rsidRPr="004867A1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D559C" w:rsidRPr="00B13E5C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8D559C" w:rsidRPr="003F42C9" w:rsidRDefault="008D559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D559C" w:rsidRPr="003F42C9" w:rsidRDefault="008D559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D559C" w:rsidRPr="00B13E5C" w:rsidRDefault="008D55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D559C" w:rsidRPr="00B13E5C" w:rsidRDefault="008D55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D559C" w:rsidRPr="00B13E5C" w:rsidTr="00FA229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59C" w:rsidRPr="00B13E5C" w:rsidRDefault="008D559C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59C" w:rsidRPr="00B13E5C" w:rsidRDefault="008D559C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59C" w:rsidRPr="00B13E5C" w:rsidRDefault="008D559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59C" w:rsidRPr="00B13E5C" w:rsidRDefault="008D55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D559C" w:rsidRPr="00B13E5C" w:rsidTr="00FA2295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8D559C" w:rsidRPr="008D559C" w:rsidRDefault="008D559C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8D559C" w:rsidRPr="00B13E5C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D559C" w:rsidRPr="008D559C" w:rsidRDefault="008D559C" w:rsidP="006E4A3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Aut</w:t>
            </w:r>
            <w:r w:rsidR="00C0795A"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</w:rPr>
              <w:t>or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D559C" w:rsidRPr="008D559C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D559C" w:rsidRPr="008D559C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D559C" w:rsidRPr="00B13E5C" w:rsidRDefault="008D559C" w:rsidP="006E4A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D559C" w:rsidRPr="00B13E5C" w:rsidTr="00FA229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8D559C" w:rsidRPr="008D559C" w:rsidRDefault="008D559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D559C" w:rsidRPr="008D559C" w:rsidRDefault="008D559C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8D559C" w:rsidRPr="008D559C" w:rsidRDefault="008D559C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vAlign w:val="center"/>
          </w:tcPr>
          <w:p w:rsidR="008D559C" w:rsidRPr="008D559C" w:rsidRDefault="008D559C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8D559C" w:rsidRPr="008D559C" w:rsidRDefault="008D559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3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8D559C" w:rsidRPr="00B13E5C" w:rsidRDefault="000D242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Mid-term exam 1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sz w:val="20"/>
                <w:szCs w:val="20"/>
              </w:rPr>
              <w:t>direct observation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8D559C" w:rsidRPr="00B13E5C" w:rsidRDefault="000D242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Mid-term exam 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sz w:val="20"/>
                <w:szCs w:val="20"/>
              </w:rPr>
              <w:t>case study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8D559C" w:rsidRPr="00B13E5C" w:rsidRDefault="000D2421" w:rsidP="009D2C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     </w:t>
            </w:r>
            <w:r w:rsidR="003F42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</w:t>
            </w:r>
            <w:r w:rsidR="003F42C9">
              <w:rPr>
                <w:rFonts w:ascii="Arial Narrow" w:hAnsi="Arial Narrow" w:cs="Times New Roman"/>
                <w:sz w:val="20"/>
                <w:szCs w:val="20"/>
              </w:rPr>
              <w:t>Mid-term exam</w:t>
            </w:r>
            <w:r w:rsidR="003F42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="003F42C9">
              <w:rPr>
                <w:rFonts w:ascii="Arial Narrow" w:hAnsi="Arial Narrow" w:cs="Times New Roman"/>
                <w:sz w:val="20"/>
                <w:szCs w:val="20"/>
              </w:rPr>
              <w:t xml:space="preserve">written assessment of the knowledge acquired after week 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8-15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vAlign w:val="center"/>
          </w:tcPr>
          <w:p w:rsidR="008D559C" w:rsidRPr="00B13E5C" w:rsidRDefault="008D559C" w:rsidP="009D2C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</w:rPr>
              <w:t xml:space="preserve">      20</w:t>
            </w:r>
          </w:p>
        </w:tc>
        <w:tc>
          <w:tcPr>
            <w:tcW w:w="1298" w:type="dxa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8D559C" w:rsidRPr="00B13E5C" w:rsidRDefault="003F42C9" w:rsidP="009D2C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Mid-term exam</w:t>
            </w:r>
            <w:r w:rsidR="008D559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 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>written assessment of the knowledge acquired after week 1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:rsidR="008D559C" w:rsidRPr="00B13E5C" w:rsidRDefault="008D559C" w:rsidP="009D2C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30                   </w:t>
            </w:r>
          </w:p>
        </w:tc>
        <w:tc>
          <w:tcPr>
            <w:tcW w:w="1298" w:type="dxa"/>
            <w:vAlign w:val="center"/>
          </w:tcPr>
          <w:p w:rsidR="008D559C" w:rsidRPr="00B13E5C" w:rsidRDefault="008D559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D559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8D559C" w:rsidRPr="000D2421" w:rsidRDefault="000D2421" w:rsidP="006E4A3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3"/>
            <w:vAlign w:val="center"/>
          </w:tcPr>
          <w:p w:rsidR="008D559C" w:rsidRPr="00B13E5C" w:rsidRDefault="008D559C" w:rsidP="006E4A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vAlign w:val="center"/>
          </w:tcPr>
          <w:p w:rsidR="008D559C" w:rsidRPr="00B13E5C" w:rsidRDefault="008D559C" w:rsidP="006E4A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D559C" w:rsidRPr="00B13E5C" w:rsidTr="00973D72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559C" w:rsidRPr="00B13E5C" w:rsidRDefault="008D55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59C" w:rsidRPr="00B13E5C" w:rsidRDefault="00F507A6" w:rsidP="003E514C">
            <w:pP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</w:pP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The student who</w:t>
            </w:r>
            <w:r w:rsidR="00357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earns</w:t>
            </w: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more than</w:t>
            </w:r>
            <w:r w:rsidR="00ED23B9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what is considered to be </w:t>
            </w: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minimal number of points 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(≥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55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)</w:t>
            </w:r>
            <w:r w:rsidR="00ED23B9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</w:t>
            </w: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in every aspect of practical and the</w:t>
            </w:r>
            <w:r w:rsidR="00145FCF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oretical continuous</w:t>
            </w:r>
            <w:r w:rsidR="00357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assessment</w:t>
            </w: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is not obliged to take </w:t>
            </w:r>
            <w:r w:rsidR="00ED23B9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</w:t>
            </w: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final exam.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</w:t>
            </w:r>
          </w:p>
          <w:p w:rsidR="008D559C" w:rsidRPr="00B13E5C" w:rsidRDefault="00F507A6" w:rsidP="006D1031">
            <w:pP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</w:pPr>
            <w:r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If the student passes both of the mid-term</w:t>
            </w:r>
            <w:r w:rsidR="00145FCF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exams, he or she is not required </w:t>
            </w:r>
            <w:r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to take </w:t>
            </w:r>
            <w:r w:rsidR="00145FCF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</w:t>
            </w:r>
            <w:r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practical exam and</w:t>
            </w:r>
            <w:r w:rsidR="00ED23B9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is allowed to take</w:t>
            </w:r>
            <w:r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</w:t>
            </w:r>
            <w:r w:rsidR="00ED23B9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</w:t>
            </w:r>
            <w:r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final exam consisting of </w:t>
            </w:r>
            <w:r w:rsidR="005278D4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a written paper and an oral exam.</w:t>
            </w:r>
            <w:r w:rsidR="00145FCF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The </w:t>
            </w:r>
            <w:r w:rsidR="005278D4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written pape</w:t>
            </w:r>
            <w:r w:rsidR="00145FCF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r and mid-term exam are formally identical</w:t>
            </w:r>
            <w:r w:rsidR="005278D4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. If the student does not pass the mid-term exams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 xml:space="preserve">, </w:t>
            </w:r>
            <w:r w:rsidR="005278D4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he or she is required to take </w:t>
            </w:r>
            <w:r w:rsidR="00145FCF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</w:t>
            </w:r>
            <w:r w:rsidR="005278D4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practical exam at </w:t>
            </w:r>
            <w:r w:rsidR="00ED23B9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</w:t>
            </w:r>
            <w:r w:rsidR="005278D4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family medicine clinic.  </w:t>
            </w:r>
          </w:p>
          <w:p w:rsidR="008D559C" w:rsidRPr="00B13E5C" w:rsidRDefault="005278D4" w:rsidP="00F8581F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The student is required to earn at least 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55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% </w:t>
            </w: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of the total number of points in order to pass the exam.</w:t>
            </w:r>
            <w:r w:rsidR="008D559C" w:rsidRPr="00B13E5C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 </w:t>
            </w:r>
            <w:r w:rsidR="008D559C" w:rsidRPr="00B13E5C">
              <w:rPr>
                <w:rFonts w:ascii="Arial Narrow" w:hAnsi="Arial Narrow"/>
                <w:color w:val="1A1617"/>
                <w:sz w:val="20"/>
                <w:szCs w:val="20"/>
              </w:rPr>
              <w:br/>
            </w:r>
          </w:p>
          <w:p w:rsidR="008D559C" w:rsidRPr="00B13E5C" w:rsidRDefault="00ED23B9" w:rsidP="00F8581F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The</w:t>
            </w:r>
            <w:r w:rsidR="00FF7848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final grade is</w:t>
            </w:r>
            <w:r w:rsidR="00357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the sum of all the scores earned for every type of student assessment. </w:t>
            </w:r>
          </w:p>
          <w:p w:rsidR="008D559C" w:rsidRPr="00B13E5C" w:rsidRDefault="008D559C" w:rsidP="00F8581F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</w:tr>
      <w:tr w:rsidR="00F931D1" w:rsidRPr="00B13E5C" w:rsidTr="00FA229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931D1" w:rsidRPr="000D2421" w:rsidRDefault="00F931D1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42" w:type="dxa"/>
            <w:gridSpan w:val="15"/>
            <w:vAlign w:val="center"/>
          </w:tcPr>
          <w:p w:rsidR="00F931D1" w:rsidRPr="00147BB7" w:rsidRDefault="00F931D1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0F123B" w:rsidRPr="00E7341C" w:rsidRDefault="000F123B" w:rsidP="000F123B">
      <w:pPr>
        <w:rPr>
          <w:rFonts w:ascii="Arial Narrow" w:hAnsi="Arial Narrow" w:cs="Times New Roman"/>
          <w:sz w:val="18"/>
          <w:szCs w:val="20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lastRenderedPageBreak/>
        <w:t>*</w:t>
      </w:r>
      <w:r>
        <w:rPr>
          <w:rFonts w:ascii="Arial Narrow" w:hAnsi="Arial Narrow" w:cs="Times New Roman"/>
          <w:sz w:val="18"/>
          <w:szCs w:val="20"/>
        </w:rPr>
        <w:t xml:space="preserve"> 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0F123B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0F123B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943" w:rsidRDefault="00524943" w:rsidP="00662C2A">
      <w:pPr>
        <w:spacing w:after="0" w:line="240" w:lineRule="auto"/>
      </w:pPr>
      <w:r>
        <w:separator/>
      </w:r>
    </w:p>
  </w:endnote>
  <w:endnote w:type="continuationSeparator" w:id="1">
    <w:p w:rsidR="00524943" w:rsidRDefault="0052494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A3A" w:rsidRDefault="006E4A3A">
    <w:pPr>
      <w:pStyle w:val="Footer"/>
      <w:jc w:val="right"/>
    </w:pPr>
  </w:p>
  <w:p w:rsidR="006E4A3A" w:rsidRDefault="006E4A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943" w:rsidRDefault="00524943" w:rsidP="00662C2A">
      <w:pPr>
        <w:spacing w:after="0" w:line="240" w:lineRule="auto"/>
      </w:pPr>
      <w:r>
        <w:separator/>
      </w:r>
    </w:p>
  </w:footnote>
  <w:footnote w:type="continuationSeparator" w:id="1">
    <w:p w:rsidR="00524943" w:rsidRDefault="00524943" w:rsidP="00662C2A">
      <w:pPr>
        <w:spacing w:after="0" w:line="240" w:lineRule="auto"/>
      </w:pPr>
      <w:r>
        <w:continuationSeparator/>
      </w:r>
    </w:p>
  </w:footnote>
  <w:footnote w:id="2">
    <w:p w:rsidR="000F123B" w:rsidRPr="00BF1185" w:rsidRDefault="000F123B" w:rsidP="000F123B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0F123B" w:rsidRDefault="000F123B" w:rsidP="000F123B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0F123B" w:rsidRDefault="000F123B" w:rsidP="000F123B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0F123B" w:rsidRPr="00DA36D9" w:rsidRDefault="000F123B" w:rsidP="000F123B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7430F"/>
    <w:multiLevelType w:val="hybridMultilevel"/>
    <w:tmpl w:val="FE2C8C0C"/>
    <w:lvl w:ilvl="0" w:tplc="444ED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E7B"/>
    <w:rsid w:val="000400CF"/>
    <w:rsid w:val="00045978"/>
    <w:rsid w:val="00060A17"/>
    <w:rsid w:val="00073BE8"/>
    <w:rsid w:val="000858C1"/>
    <w:rsid w:val="000A6704"/>
    <w:rsid w:val="000B2591"/>
    <w:rsid w:val="000C20EE"/>
    <w:rsid w:val="000C2F1E"/>
    <w:rsid w:val="000C4C55"/>
    <w:rsid w:val="000C52F2"/>
    <w:rsid w:val="000C6EE8"/>
    <w:rsid w:val="000D2421"/>
    <w:rsid w:val="000E2411"/>
    <w:rsid w:val="000E6CA4"/>
    <w:rsid w:val="000F123B"/>
    <w:rsid w:val="000F4E9A"/>
    <w:rsid w:val="001255C9"/>
    <w:rsid w:val="00137675"/>
    <w:rsid w:val="00141083"/>
    <w:rsid w:val="00142472"/>
    <w:rsid w:val="00145FCF"/>
    <w:rsid w:val="00153413"/>
    <w:rsid w:val="00163B31"/>
    <w:rsid w:val="0018087E"/>
    <w:rsid w:val="00191E6E"/>
    <w:rsid w:val="001B3585"/>
    <w:rsid w:val="001B4C8D"/>
    <w:rsid w:val="001B6A8D"/>
    <w:rsid w:val="001C2DD8"/>
    <w:rsid w:val="001C6A51"/>
    <w:rsid w:val="001D04DD"/>
    <w:rsid w:val="001E27BB"/>
    <w:rsid w:val="001E42A1"/>
    <w:rsid w:val="00200050"/>
    <w:rsid w:val="00214FA5"/>
    <w:rsid w:val="002207C7"/>
    <w:rsid w:val="00224439"/>
    <w:rsid w:val="00225754"/>
    <w:rsid w:val="002833F0"/>
    <w:rsid w:val="00296C30"/>
    <w:rsid w:val="002B0879"/>
    <w:rsid w:val="002C699B"/>
    <w:rsid w:val="00306F6D"/>
    <w:rsid w:val="00322925"/>
    <w:rsid w:val="003418CF"/>
    <w:rsid w:val="00343C7C"/>
    <w:rsid w:val="00355B14"/>
    <w:rsid w:val="00357E5C"/>
    <w:rsid w:val="00370908"/>
    <w:rsid w:val="0037103D"/>
    <w:rsid w:val="00371212"/>
    <w:rsid w:val="003825AD"/>
    <w:rsid w:val="003848E7"/>
    <w:rsid w:val="003A52B9"/>
    <w:rsid w:val="003B1A86"/>
    <w:rsid w:val="003B5A99"/>
    <w:rsid w:val="003B6FBF"/>
    <w:rsid w:val="003C314E"/>
    <w:rsid w:val="003D71DC"/>
    <w:rsid w:val="003E514C"/>
    <w:rsid w:val="003F42C9"/>
    <w:rsid w:val="003F57D5"/>
    <w:rsid w:val="0041153D"/>
    <w:rsid w:val="00420396"/>
    <w:rsid w:val="00421894"/>
    <w:rsid w:val="00421F85"/>
    <w:rsid w:val="0043206D"/>
    <w:rsid w:val="00432D15"/>
    <w:rsid w:val="00436154"/>
    <w:rsid w:val="00443540"/>
    <w:rsid w:val="00446201"/>
    <w:rsid w:val="004601FF"/>
    <w:rsid w:val="0047067C"/>
    <w:rsid w:val="004B3B37"/>
    <w:rsid w:val="004C27A8"/>
    <w:rsid w:val="004C7511"/>
    <w:rsid w:val="004E528E"/>
    <w:rsid w:val="00516918"/>
    <w:rsid w:val="005240C9"/>
    <w:rsid w:val="00524943"/>
    <w:rsid w:val="005276E6"/>
    <w:rsid w:val="005278D4"/>
    <w:rsid w:val="00537EFE"/>
    <w:rsid w:val="00540BD4"/>
    <w:rsid w:val="00545329"/>
    <w:rsid w:val="00550AD9"/>
    <w:rsid w:val="00551583"/>
    <w:rsid w:val="00563EA6"/>
    <w:rsid w:val="00564658"/>
    <w:rsid w:val="00567351"/>
    <w:rsid w:val="00581BDB"/>
    <w:rsid w:val="005847AA"/>
    <w:rsid w:val="00592CFD"/>
    <w:rsid w:val="005A4388"/>
    <w:rsid w:val="005B5014"/>
    <w:rsid w:val="005B516D"/>
    <w:rsid w:val="00620598"/>
    <w:rsid w:val="00621E22"/>
    <w:rsid w:val="006331C5"/>
    <w:rsid w:val="006416B4"/>
    <w:rsid w:val="00641701"/>
    <w:rsid w:val="00662C2A"/>
    <w:rsid w:val="00686EE2"/>
    <w:rsid w:val="00687C05"/>
    <w:rsid w:val="00694EA1"/>
    <w:rsid w:val="00696562"/>
    <w:rsid w:val="006A55DB"/>
    <w:rsid w:val="006C66CD"/>
    <w:rsid w:val="006C7ED6"/>
    <w:rsid w:val="006D1031"/>
    <w:rsid w:val="006E4A3A"/>
    <w:rsid w:val="006F0587"/>
    <w:rsid w:val="006F0D88"/>
    <w:rsid w:val="00706350"/>
    <w:rsid w:val="00707181"/>
    <w:rsid w:val="00720EA3"/>
    <w:rsid w:val="00727088"/>
    <w:rsid w:val="00741E90"/>
    <w:rsid w:val="00770CC7"/>
    <w:rsid w:val="007A7335"/>
    <w:rsid w:val="007D39B4"/>
    <w:rsid w:val="007D4D9B"/>
    <w:rsid w:val="007E582F"/>
    <w:rsid w:val="00802D79"/>
    <w:rsid w:val="008112EE"/>
    <w:rsid w:val="00817290"/>
    <w:rsid w:val="00834BB9"/>
    <w:rsid w:val="008A1C31"/>
    <w:rsid w:val="008A304A"/>
    <w:rsid w:val="008A5AAE"/>
    <w:rsid w:val="008D5263"/>
    <w:rsid w:val="008D559C"/>
    <w:rsid w:val="008E0D03"/>
    <w:rsid w:val="008E6F9C"/>
    <w:rsid w:val="008F3344"/>
    <w:rsid w:val="008F54FF"/>
    <w:rsid w:val="009154B5"/>
    <w:rsid w:val="00953AA7"/>
    <w:rsid w:val="00953D0B"/>
    <w:rsid w:val="00964A76"/>
    <w:rsid w:val="00973D72"/>
    <w:rsid w:val="00987F7D"/>
    <w:rsid w:val="0099348A"/>
    <w:rsid w:val="00995859"/>
    <w:rsid w:val="009B42A4"/>
    <w:rsid w:val="009C12A9"/>
    <w:rsid w:val="009C1AC0"/>
    <w:rsid w:val="009C6099"/>
    <w:rsid w:val="009D2C98"/>
    <w:rsid w:val="00A04EE5"/>
    <w:rsid w:val="00A05E6A"/>
    <w:rsid w:val="00A255BB"/>
    <w:rsid w:val="00A430F6"/>
    <w:rsid w:val="00A43A25"/>
    <w:rsid w:val="00A45AB1"/>
    <w:rsid w:val="00A50129"/>
    <w:rsid w:val="00A57F35"/>
    <w:rsid w:val="00A6318C"/>
    <w:rsid w:val="00A6669B"/>
    <w:rsid w:val="00A819E0"/>
    <w:rsid w:val="00A8544E"/>
    <w:rsid w:val="00A96387"/>
    <w:rsid w:val="00AB28FA"/>
    <w:rsid w:val="00AC1498"/>
    <w:rsid w:val="00AC6729"/>
    <w:rsid w:val="00AD6782"/>
    <w:rsid w:val="00AD6D22"/>
    <w:rsid w:val="00AF0977"/>
    <w:rsid w:val="00AF1CAC"/>
    <w:rsid w:val="00AF6F4F"/>
    <w:rsid w:val="00B13E5C"/>
    <w:rsid w:val="00B27FCB"/>
    <w:rsid w:val="00B36B65"/>
    <w:rsid w:val="00B41027"/>
    <w:rsid w:val="00B57306"/>
    <w:rsid w:val="00B67AD5"/>
    <w:rsid w:val="00B72E3C"/>
    <w:rsid w:val="00B732CF"/>
    <w:rsid w:val="00B73D94"/>
    <w:rsid w:val="00B74722"/>
    <w:rsid w:val="00B91E28"/>
    <w:rsid w:val="00B924C4"/>
    <w:rsid w:val="00B93FA8"/>
    <w:rsid w:val="00B94753"/>
    <w:rsid w:val="00BB3616"/>
    <w:rsid w:val="00BB397D"/>
    <w:rsid w:val="00BB4A07"/>
    <w:rsid w:val="00BC519B"/>
    <w:rsid w:val="00BE28C2"/>
    <w:rsid w:val="00BF1B93"/>
    <w:rsid w:val="00C0795A"/>
    <w:rsid w:val="00C14646"/>
    <w:rsid w:val="00C36E2B"/>
    <w:rsid w:val="00C4153A"/>
    <w:rsid w:val="00C64B8B"/>
    <w:rsid w:val="00C85CCF"/>
    <w:rsid w:val="00C905EB"/>
    <w:rsid w:val="00C93003"/>
    <w:rsid w:val="00CA66B8"/>
    <w:rsid w:val="00CB3299"/>
    <w:rsid w:val="00CB7036"/>
    <w:rsid w:val="00CC3A17"/>
    <w:rsid w:val="00CC6752"/>
    <w:rsid w:val="00CC7446"/>
    <w:rsid w:val="00CD1242"/>
    <w:rsid w:val="00CF70EA"/>
    <w:rsid w:val="00D15E3B"/>
    <w:rsid w:val="00D22932"/>
    <w:rsid w:val="00D4285C"/>
    <w:rsid w:val="00D66EED"/>
    <w:rsid w:val="00D86FF0"/>
    <w:rsid w:val="00D93B3E"/>
    <w:rsid w:val="00DA4E38"/>
    <w:rsid w:val="00DC2177"/>
    <w:rsid w:val="00DC452B"/>
    <w:rsid w:val="00DC58A7"/>
    <w:rsid w:val="00DD0BEB"/>
    <w:rsid w:val="00DE17E1"/>
    <w:rsid w:val="00DE3199"/>
    <w:rsid w:val="00DF29EF"/>
    <w:rsid w:val="00E02BB6"/>
    <w:rsid w:val="00E06B13"/>
    <w:rsid w:val="00E13433"/>
    <w:rsid w:val="00E4694B"/>
    <w:rsid w:val="00E50261"/>
    <w:rsid w:val="00E5702E"/>
    <w:rsid w:val="00E579B5"/>
    <w:rsid w:val="00E709D0"/>
    <w:rsid w:val="00E72E4F"/>
    <w:rsid w:val="00E77298"/>
    <w:rsid w:val="00E81BF9"/>
    <w:rsid w:val="00E924E8"/>
    <w:rsid w:val="00E93E0F"/>
    <w:rsid w:val="00E9758E"/>
    <w:rsid w:val="00EA104A"/>
    <w:rsid w:val="00EB1E02"/>
    <w:rsid w:val="00EC5372"/>
    <w:rsid w:val="00ED23B9"/>
    <w:rsid w:val="00ED2A49"/>
    <w:rsid w:val="00ED59F8"/>
    <w:rsid w:val="00F03772"/>
    <w:rsid w:val="00F224DB"/>
    <w:rsid w:val="00F45E48"/>
    <w:rsid w:val="00F507A6"/>
    <w:rsid w:val="00F551EC"/>
    <w:rsid w:val="00F71FCE"/>
    <w:rsid w:val="00F76724"/>
    <w:rsid w:val="00F8581F"/>
    <w:rsid w:val="00F931D1"/>
    <w:rsid w:val="00FA2295"/>
    <w:rsid w:val="00FC0946"/>
    <w:rsid w:val="00FD605C"/>
    <w:rsid w:val="00FF02FC"/>
    <w:rsid w:val="00FF7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styleId="Emphasis">
    <w:name w:val="Emphasis"/>
    <w:basedOn w:val="DefaultParagraphFont"/>
    <w:uiPriority w:val="20"/>
    <w:qFormat/>
    <w:rsid w:val="009B42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D984311-9CCE-4761-856D-E20D5C9D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2020-02-19T11:18:00Z</cp:lastPrinted>
  <dcterms:created xsi:type="dcterms:W3CDTF">2020-02-18T10:36:00Z</dcterms:created>
  <dcterms:modified xsi:type="dcterms:W3CDTF">2020-02-19T11:18:00Z</dcterms:modified>
</cp:coreProperties>
</file>