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70"/>
        <w:gridCol w:w="110"/>
        <w:gridCol w:w="31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020C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020C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A5765" w:rsidRDefault="001A5765" w:rsidP="001A576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B020C9" w:rsidRDefault="001A5765" w:rsidP="001A576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020C9" w:rsidRDefault="009469E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153670</wp:posOffset>
                  </wp:positionH>
                  <wp:positionV relativeFrom="paragraph">
                    <wp:posOffset>121920</wp:posOffset>
                  </wp:positionV>
                  <wp:extent cx="837565" cy="790575"/>
                  <wp:effectExtent l="19050" t="0" r="63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B020C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020C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020C9" w:rsidRDefault="001A576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020C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B020C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020C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020C9" w:rsidRDefault="001A576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020C9" w:rsidRDefault="001A576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020C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A5765" w:rsidRPr="00B020C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1A5765" w:rsidRPr="001A5765" w:rsidRDefault="001A5765" w:rsidP="001B2701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MEDICINE AND SOCIETY</w:t>
            </w:r>
          </w:p>
        </w:tc>
      </w:tr>
      <w:tr w:rsidR="00DF29EF" w:rsidRPr="00B020C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020C9" w:rsidRDefault="001A5765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020C9" w:rsidRDefault="001A5765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Department for general education subjects,</w:t>
            </w:r>
            <w:r w:rsidR="00F74B2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16D8C">
              <w:rPr>
                <w:rFonts w:ascii="Arial Narrow" w:hAnsi="Arial Narrow"/>
                <w:sz w:val="20"/>
                <w:szCs w:val="20"/>
                <w:lang w:val="hr-BA"/>
              </w:rPr>
              <w:t>Faculty of Medicine in Foc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a</w:t>
            </w:r>
          </w:p>
        </w:tc>
      </w:tr>
      <w:tr w:rsidR="001A5765" w:rsidRPr="00B020C9" w:rsidTr="00592CFD">
        <w:trPr>
          <w:trHeight w:val="252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5765" w:rsidRPr="00B020C9" w:rsidRDefault="001A576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020C9" w:rsidTr="00592CFD">
        <w:trPr>
          <w:trHeight w:val="252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020C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020C9" w:rsidRDefault="001B2701" w:rsidP="00A0347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</w:t>
            </w:r>
            <w:r w:rsidR="00A03473">
              <w:rPr>
                <w:rFonts w:ascii="Arial Narrow" w:hAnsi="Arial Narrow" w:cs="Times New Roman"/>
                <w:sz w:val="20"/>
                <w:szCs w:val="20"/>
              </w:rPr>
              <w:t>01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020C9" w:rsidRDefault="001A576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020C9" w:rsidRDefault="001B270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020C9" w:rsidRDefault="001B2701" w:rsidP="001B270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020C9" w:rsidRDefault="001A576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A5765" w:rsidRDefault="00C94566" w:rsidP="00C94566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Full professor</w:t>
            </w:r>
            <w:r w:rsidR="00825E45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1A5765">
              <w:rPr>
                <w:rFonts w:ascii="Arial Narrow" w:hAnsi="Arial Narrow" w:cs="Times New Roman"/>
                <w:sz w:val="20"/>
                <w:szCs w:val="20"/>
                <w:lang w:val="hr-BA"/>
              </w:rPr>
              <w:t>Snezana Marjanovic,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MD</w:t>
            </w:r>
            <w:r w:rsidR="001A5765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PhD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56792C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51568C">
              <w:rPr>
                <w:rFonts w:ascii="Arial Narrow" w:hAnsi="Arial Narrow" w:cs="Times New Roman"/>
                <w:sz w:val="20"/>
                <w:szCs w:val="20"/>
                <w:lang w:val="hr-BA"/>
              </w:rPr>
              <w:t>Full professor</w:t>
            </w:r>
            <w:r w:rsidR="0051568C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1A5765">
              <w:rPr>
                <w:rFonts w:ascii="Arial Narrow" w:hAnsi="Arial Narrow" w:cs="Times New Roman"/>
                <w:sz w:val="20"/>
                <w:szCs w:val="20"/>
                <w:lang w:val="hr-BA"/>
              </w:rPr>
              <w:t>Valentina Sokolovska, PhD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>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A5765">
              <w:rPr>
                <w:rFonts w:ascii="Arial Narrow" w:hAnsi="Arial Narrow" w:cs="Times New Roman"/>
                <w:sz w:val="20"/>
                <w:szCs w:val="20"/>
              </w:rPr>
              <w:t xml:space="preserve">full prof. </w:t>
            </w:r>
            <w:r>
              <w:rPr>
                <w:rFonts w:ascii="Arial Narrow" w:hAnsi="Arial Narrow" w:cs="Times New Roman"/>
                <w:sz w:val="20"/>
                <w:szCs w:val="20"/>
              </w:rPr>
              <w:t>Siniša Ristič</w:t>
            </w:r>
            <w:r w:rsidR="001A5765">
              <w:rPr>
                <w:rFonts w:ascii="Arial Narrow" w:hAnsi="Arial Narrow" w:cs="Times New Roman"/>
                <w:sz w:val="20"/>
                <w:szCs w:val="20"/>
              </w:rPr>
              <w:t>, as</w:t>
            </w:r>
            <w:r>
              <w:rPr>
                <w:rFonts w:ascii="Arial Narrow" w:hAnsi="Arial Narrow" w:cs="Times New Roman"/>
                <w:sz w:val="20"/>
                <w:szCs w:val="20"/>
              </w:rPr>
              <w:t>istant</w:t>
            </w:r>
            <w:r w:rsidR="001A5765">
              <w:rPr>
                <w:rFonts w:ascii="Arial Narrow" w:hAnsi="Arial Narrow" w:cs="Times New Roman"/>
                <w:sz w:val="20"/>
                <w:szCs w:val="20"/>
              </w:rPr>
              <w:t xml:space="preserve"> prof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essor </w:t>
            </w:r>
            <w:r w:rsidR="001A5765">
              <w:rPr>
                <w:rFonts w:ascii="Arial Narrow" w:hAnsi="Arial Narrow" w:cs="Times New Roman"/>
                <w:sz w:val="20"/>
                <w:szCs w:val="20"/>
              </w:rPr>
              <w:t xml:space="preserve"> Vekoslav Mitrovic, PhD</w:t>
            </w:r>
          </w:p>
        </w:tc>
      </w:tr>
      <w:tr w:rsidR="00DF29EF" w:rsidRPr="00B020C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020C9" w:rsidRDefault="001A5765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020C9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A5765" w:rsidRPr="00B020C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D16D8C"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1A5765" w:rsidRPr="00B020C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A5765" w:rsidRPr="00994745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A5765" w:rsidRPr="00994745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1A5765" w:rsidRPr="00994745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1A5765" w:rsidRPr="00994745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1A5765" w:rsidRPr="00147BB7" w:rsidRDefault="001A5765" w:rsidP="00A12CD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47BB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47BB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020C9" w:rsidTr="00BB3616">
        <w:tc>
          <w:tcPr>
            <w:tcW w:w="1242" w:type="dxa"/>
            <w:shd w:val="clear" w:color="auto" w:fill="auto"/>
            <w:vAlign w:val="center"/>
          </w:tcPr>
          <w:p w:rsidR="003B5A99" w:rsidRPr="00B020C9" w:rsidRDefault="005300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020C9" w:rsidRDefault="005300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020C9" w:rsidRDefault="005300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020C9" w:rsidRDefault="00D15E35" w:rsidP="005300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020C9" w:rsidRDefault="00D15E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020C9" w:rsidRDefault="00D15E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020C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B020C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765" w:rsidRPr="00147BB7" w:rsidRDefault="001A5765" w:rsidP="001A576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B020C9" w:rsidRDefault="00D15E35" w:rsidP="00D15E3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4*15+0*15+0*15=</w:t>
            </w:r>
            <w:r w:rsidR="005300A6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765" w:rsidRPr="004867A1" w:rsidRDefault="001A5765" w:rsidP="001A576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B020C9" w:rsidRDefault="00D15E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4*15*1+0*15*1+0*15*1=60</w:t>
            </w:r>
          </w:p>
        </w:tc>
      </w:tr>
      <w:tr w:rsidR="008A1C31" w:rsidRPr="00B020C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1A5765" w:rsidP="001A576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>:</w:t>
            </w:r>
            <w:r w:rsidR="004C48CC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>60+60=</w:t>
            </w:r>
            <w:r w:rsidR="005300A6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8A1C31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3949C6" w:rsidRDefault="003949C6" w:rsidP="00825E4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949C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To familiarize students with sociological and medical knowledge, necessary for understanding causative and consequential relationships of disease and human health, to familiarize them with the basics of bioethics, including counter-intersections within the same, and to point them to other socially important challenges they will encounter in medical practice .</w:t>
            </w:r>
          </w:p>
          <w:p w:rsidR="002D668F" w:rsidRPr="003949C6" w:rsidRDefault="003949C6" w:rsidP="00825E4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To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cknowledge</w:t>
            </w:r>
            <w:r w:rsidRPr="003949C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the assessment of the health statu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s of the population and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to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propose</w:t>
            </w:r>
            <w:r w:rsidRPr="003949C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preventive measures for certain categories of population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.</w:t>
            </w:r>
          </w:p>
        </w:tc>
      </w:tr>
      <w:tr w:rsidR="008A1C31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1A576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hr-BA"/>
              </w:rPr>
              <w:t>No preconditions for listening the subject and taking the exam</w:t>
            </w:r>
          </w:p>
        </w:tc>
      </w:tr>
      <w:tr w:rsidR="008A1C31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A5765" w:rsidRDefault="001A5765" w:rsidP="00E50261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Lectures, seminar papers, consultations</w:t>
            </w:r>
          </w:p>
        </w:tc>
      </w:tr>
      <w:tr w:rsidR="008A1C31" w:rsidRPr="00B020C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020C9" w:rsidRDefault="00D16D8C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020C9" w:rsidRPr="00B020C9" w:rsidRDefault="001A5765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Lectures:</w:t>
            </w:r>
          </w:p>
          <w:p w:rsidR="0045166B" w:rsidRPr="0045166B" w:rsidRDefault="008A1C31" w:rsidP="0045166B">
            <w:pPr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 </w:t>
            </w:r>
            <w:r w:rsidR="0045166B" w:rsidRP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The </w:t>
            </w:r>
            <w:r w:rsidR="0045166B">
              <w:rPr>
                <w:rFonts w:ascii="Arial Narrow" w:hAnsi="Arial Narrow" w:cs="Times New Roman"/>
                <w:sz w:val="20"/>
                <w:szCs w:val="20"/>
                <w:lang w:val="hr-BA" w:eastAsia="en-GB"/>
              </w:rPr>
              <w:t>concept</w:t>
            </w:r>
            <w:r w:rsidR="0045166B" w:rsidRP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 of sociology and its subject definition. Basic phases of sociological research.</w:t>
            </w:r>
          </w:p>
          <w:p w:rsidR="0045166B" w:rsidRDefault="0045166B" w:rsidP="0045166B">
            <w:pPr>
              <w:rPr>
                <w:rFonts w:ascii="Arial Narrow" w:hAnsi="Arial Narrow" w:cs="Times New Roman"/>
                <w:sz w:val="20"/>
                <w:szCs w:val="20"/>
                <w:lang w:val="hr-BA" w:eastAsia="en-GB"/>
              </w:rPr>
            </w:pPr>
            <w:r w:rsidRP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>    Methods and techniques of research in sociology.</w:t>
            </w:r>
          </w:p>
          <w:p w:rsidR="0045166B" w:rsidRPr="0045166B" w:rsidRDefault="00EA30F6" w:rsidP="0045166B">
            <w:pPr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2.</w:t>
            </w:r>
            <w:r w:rsidR="0045166B">
              <w:t xml:space="preserve"> </w:t>
            </w:r>
            <w:r w:rsidR="0045166B" w:rsidRP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>Culture (symbols and society, symbol system</w:t>
            </w:r>
            <w:r w:rsid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>s, cultural variations, culture</w:t>
            </w:r>
            <w:r w:rsidR="0045166B" w:rsidRP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 and media).</w:t>
            </w:r>
          </w:p>
          <w:p w:rsidR="0045166B" w:rsidRDefault="0045166B" w:rsidP="0045166B">
            <w:pPr>
              <w:rPr>
                <w:rFonts w:ascii="Arial Narrow" w:hAnsi="Arial Narrow" w:cs="Times New Roman"/>
                <w:sz w:val="20"/>
                <w:szCs w:val="20"/>
                <w:lang w:val="hr-BA" w:eastAsia="en-GB"/>
              </w:rPr>
            </w:pPr>
            <w:r w:rsidRPr="0045166B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>Social structure (basic elements, types, levels and power of the social structure)</w:t>
            </w:r>
          </w:p>
          <w:p w:rsidR="0045166B" w:rsidRDefault="00EA30F6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="0045166B">
              <w:t xml:space="preserve"> </w:t>
            </w:r>
            <w:r w:rsidR="0045166B" w:rsidRPr="0045166B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Socialization (process, phases and socialization agents). Social control (the problem of social order, deviance).</w:t>
            </w:r>
          </w:p>
          <w:p w:rsidR="00EA30F6" w:rsidRPr="00B020C9" w:rsidRDefault="00EA30F6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="00FE13B0">
              <w:t xml:space="preserve"> </w:t>
            </w:r>
            <w:r w:rsidR="00FE13B0" w:rsidRPr="00FE13B0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Meetings (focused meetings: rituals, forms of speech, body language, emotions, roles). Social groups (primary and secondary groups, gr</w:t>
            </w:r>
            <w:r w:rsidR="009D2E0C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oup dynamics: leadership, cliques</w:t>
            </w:r>
            <w:r w:rsidR="00FE13B0" w:rsidRPr="00FE13B0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, expectations, virtual groups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)</w:t>
            </w:r>
          </w:p>
          <w:p w:rsidR="00EA30F6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D2E0C" w:rsidRPr="009D2E0C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Organizations (forms of formal organization, internal dynamics of organiz</w:t>
            </w:r>
            <w:r w:rsidR="009D2E0C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ations, organizational culture. P</w:t>
            </w:r>
            <w:r w:rsidR="009D2E0C" w:rsidRPr="009D2E0C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rofession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D2E0C" w:rsidRPr="009D2E0C">
              <w:rPr>
                <w:rFonts w:ascii="Arial Narrow" w:hAnsi="Arial Narrow" w:cs="Times New Roman"/>
                <w:sz w:val="20"/>
                <w:szCs w:val="20"/>
                <w:lang w:val="sr-Cyrl-CS" w:eastAsia="en-GB"/>
              </w:rPr>
              <w:t>Gender stratification (sex and gender). Relation and family. Population and demography.</w:t>
            </w:r>
          </w:p>
          <w:p w:rsidR="00D86BE6" w:rsidRPr="009D2E0C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D2E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The concept of moral</w:t>
            </w:r>
            <w:r w:rsidR="009D2E0C" w:rsidRPr="009D2E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morality, ethics and deontology. History of biomedical ethics, oaths and codes. Ethical attitude of nurses towards a patient, to</w:t>
            </w:r>
            <w:r w:rsidR="009D2E0C">
              <w:rPr>
                <w:rFonts w:ascii="Arial Narrow" w:hAnsi="Arial Narrow" w:cs="Times New Roman"/>
                <w:sz w:val="20"/>
                <w:szCs w:val="20"/>
              </w:rPr>
              <w:t>wards</w:t>
            </w:r>
            <w:r w:rsidR="009D2E0C" w:rsidRPr="009D2E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another health worker, to himself and to the community</w:t>
            </w:r>
            <w:r w:rsidR="009D2E0C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E97ECD" w:rsidRDefault="008A1C31" w:rsidP="009D2E0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  <w:r w:rsidR="00E97ECD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9D2E0C" w:rsidRPr="009D2E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Ethical attitude of nurses in certain disciplines of nursing and medicine.Great and eternal ethical issues and dilemmas (euthanasia, medical secret, artificial abortion).Medical deontology and medical law</w:t>
            </w:r>
          </w:p>
          <w:p w:rsidR="009542F0" w:rsidRPr="00E97ECD" w:rsidRDefault="009D2E0C" w:rsidP="00E97EC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2E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A1C31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97E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Humanistic theory - Maslo</w:t>
            </w:r>
            <w:r w:rsidR="00E97ECD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E97ECD" w:rsidRPr="00E97E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's hierarchy of needs and its application and benefit in nursing. Conceptual system F</w:t>
            </w:r>
            <w:r w:rsidR="00E97E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loren</w:t>
            </w:r>
            <w:r w:rsidR="00E97ECD">
              <w:rPr>
                <w:rFonts w:ascii="Arial Narrow" w:hAnsi="Arial Narrow" w:cs="Times New Roman"/>
                <w:sz w:val="20"/>
                <w:szCs w:val="20"/>
              </w:rPr>
              <w:t>ce</w:t>
            </w:r>
            <w:r w:rsidR="00E97ECD" w:rsidRPr="00E97E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N</w:t>
            </w:r>
            <w:r w:rsidR="00E97ECD">
              <w:rPr>
                <w:rFonts w:ascii="Arial Narrow" w:hAnsi="Arial Narrow" w:cs="Times New Roman"/>
                <w:sz w:val="20"/>
                <w:szCs w:val="20"/>
              </w:rPr>
              <w:t>ightingale</w:t>
            </w:r>
            <w:r w:rsidR="00E97ECD" w:rsidRPr="00E97E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(personality, environment, health, care). Virginia Henderson's Humanistic Conceptual System (Personality, Environment, Health, Care and 14 Basic Needs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E97EC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537EBF" w:rsidRPr="00E43623" w:rsidRDefault="008A1C31" w:rsidP="00537EBF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537EBF"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 xml:space="preserve"> </w:t>
            </w:r>
            <w:r w:rsidR="00537EBF" w:rsidRPr="00537EBF">
              <w:rPr>
                <w:rFonts w:ascii="Arial Narrow" w:hAnsi="Arial Narrow" w:cs="Times New Roman"/>
                <w:color w:val="222222"/>
                <w:sz w:val="20"/>
                <w:szCs w:val="20"/>
                <w:shd w:val="clear" w:color="auto" w:fill="FFFFFF"/>
              </w:rPr>
              <w:t>Dorothea Orem's Self Care Theory</w:t>
            </w:r>
            <w:r w:rsidR="00537EBF">
              <w:t xml:space="preserve"> </w:t>
            </w:r>
            <w:r w:rsidR="00537EBF" w:rsidRPr="00537E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Adaptation conceptual system </w:t>
            </w:r>
            <w:r w:rsidR="00537EBF">
              <w:rPr>
                <w:rFonts w:ascii="Arial Narrow" w:hAnsi="Arial Narrow" w:cs="Times New Roman"/>
                <w:sz w:val="20"/>
                <w:szCs w:val="20"/>
              </w:rPr>
              <w:t>Callista</w:t>
            </w:r>
            <w:r w:rsidR="00537EBF" w:rsidRPr="00537E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Roy (personality, environment, health, nu</w:t>
            </w:r>
            <w:r w:rsidR="00537E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rsing procedures and objective)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4233F" w:rsidRPr="00E43623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="00537EBF" w:rsidRPr="00E43623">
              <w:rPr>
                <w:rFonts w:ascii="Arial Narrow" w:hAnsi="Arial Narrow"/>
                <w:sz w:val="20"/>
                <w:szCs w:val="20"/>
              </w:rPr>
              <w:instrText xml:space="preserve"> HYPERLINK "https://www.ncbi.nlm.nih.gov/pubmed/1538850" </w:instrText>
            </w:r>
            <w:r w:rsidR="00E4233F" w:rsidRPr="00E4362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37EBF" w:rsidRPr="00E43623">
              <w:rPr>
                <w:rFonts w:ascii="Arial Narrow" w:hAnsi="Arial Narrow" w:cs="Arial"/>
                <w:bCs/>
                <w:sz w:val="20"/>
                <w:szCs w:val="20"/>
                <w:shd w:val="clear" w:color="auto" w:fill="FFFFFF"/>
              </w:rPr>
              <w:t>King's theory of goal attainment</w:t>
            </w:r>
          </w:p>
          <w:p w:rsidR="00C275B8" w:rsidRDefault="00E4233F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43623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8A1C31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43623" w:rsidRPr="00E4362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Jean Watson - Philosophy and Nutrition.</w:t>
            </w:r>
            <w:r w:rsidR="00E43623">
              <w:t xml:space="preserve"> </w:t>
            </w:r>
            <w:r w:rsid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The theory of Betty Ne</w:t>
            </w:r>
            <w:r w:rsidR="00C275B8">
              <w:rPr>
                <w:rFonts w:ascii="Arial Narrow" w:hAnsi="Arial Narrow" w:cs="Times New Roman"/>
                <w:sz w:val="20"/>
                <w:szCs w:val="20"/>
              </w:rPr>
              <w:t>u</w:t>
            </w:r>
            <w:r w:rsidR="00E43623" w:rsidRPr="00E4362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man</w:t>
            </w:r>
            <w:r w:rsidR="00C275B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C275B8" w:rsidRP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Erikson's theory of personality development and its application and benefit in nursing. Piaget's theory of cognitive development and its application and benefit in nursing.</w:t>
            </w:r>
          </w:p>
          <w:p w:rsidR="00C275B8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275B8" w:rsidRP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Definition, goal, task and field of work of social medicine. Health and Health Care. The natural course </w:t>
            </w:r>
            <w:r w:rsidR="00C275B8" w:rsidRP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of the disease and prevention measures.</w:t>
            </w:r>
          </w:p>
          <w:p w:rsidR="00C275B8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275B8" w:rsidRP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service, health workers and associates. Health legislation.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  <w:r w:rsidR="00C275B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C275B8" w:rsidRP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Assessment of the health status of the population. Social diseases.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275B8" w:rsidRPr="00C275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education. Health protection of certain categories of population.</w:t>
            </w:r>
          </w:p>
        </w:tc>
      </w:tr>
      <w:tr w:rsidR="008A1C31" w:rsidRPr="00B020C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020C9" w:rsidRDefault="001A576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D9D9D9" w:themeFill="background1" w:themeFillShade="D9"/>
            <w:vAlign w:val="center"/>
          </w:tcPr>
          <w:p w:rsidR="008A1C31" w:rsidRPr="00B020C9" w:rsidRDefault="001A576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D16D8C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139" w:type="dxa"/>
            <w:gridSpan w:val="8"/>
            <w:shd w:val="clear" w:color="auto" w:fill="D9D9D9" w:themeFill="background1" w:themeFillShade="D9"/>
            <w:vAlign w:val="center"/>
          </w:tcPr>
          <w:p w:rsidR="008A1C31" w:rsidRPr="00B020C9" w:rsidRDefault="001A576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auto"/>
            <w:vAlign w:val="center"/>
          </w:tcPr>
          <w:p w:rsidR="008A1C31" w:rsidRPr="001A5765" w:rsidRDefault="00797F9F" w:rsidP="00825E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Giddens Anthony</w:t>
            </w: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8A1C31" w:rsidRPr="001A5765" w:rsidRDefault="00797F9F" w:rsidP="001A576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Sociology</w:t>
            </w:r>
            <w:r w:rsidR="008C484B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(sixth edi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tion).Cambidge,Policy Network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25E45" w:rsidRPr="00B020C9" w:rsidRDefault="006271D5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200</w:t>
            </w:r>
            <w:r w:rsidR="00797F9F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  <w:p w:rsidR="008A1C31" w:rsidRPr="001A5765" w:rsidRDefault="008A1C31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271D5" w:rsidRPr="00B020C9" w:rsidRDefault="006271D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B020C9" w:rsidTr="008C484B">
        <w:trPr>
          <w:trHeight w:val="530"/>
        </w:trPr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C484B" w:rsidRDefault="008C484B" w:rsidP="001A57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Edge R and Groves J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5765" w:rsidRDefault="008C484B" w:rsidP="001A576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Ethics of health care. A guide for clinical practice. Nelson Education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5765" w:rsidRDefault="008C484B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7CC7" w:rsidRPr="00B020C9" w:rsidTr="000666C0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8C484B" w:rsidRDefault="008C484B" w:rsidP="003B50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Momoh P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1A5765" w:rsidRDefault="008C484B" w:rsidP="001A576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World Medical Association. Medical ethics manual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1A5765" w:rsidRDefault="008C484B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B020C9" w:rsidRDefault="004D7C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666C0" w:rsidRPr="00B020C9" w:rsidTr="000666C0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345524">
            <w:pPr>
              <w:ind w:left="1620" w:hanging="162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020C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020C9" w:rsidRDefault="001A576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D9D9D9" w:themeFill="background1" w:themeFillShade="D9"/>
            <w:vAlign w:val="center"/>
          </w:tcPr>
          <w:p w:rsidR="008A1C31" w:rsidRPr="00B020C9" w:rsidRDefault="001A5765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D16D8C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139" w:type="dxa"/>
            <w:gridSpan w:val="8"/>
            <w:shd w:val="clear" w:color="auto" w:fill="D9D9D9" w:themeFill="background1" w:themeFillShade="D9"/>
            <w:vAlign w:val="center"/>
          </w:tcPr>
          <w:p w:rsidR="008A1C31" w:rsidRPr="00B020C9" w:rsidRDefault="001A576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020C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020C9" w:rsidRDefault="001A576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020C9" w:rsidRDefault="001A576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020C9" w:rsidRDefault="001A576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Percentage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1A576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020C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A5765">
              <w:rPr>
                <w:rFonts w:ascii="Arial Narrow" w:hAnsi="Arial Narrow"/>
                <w:sz w:val="20"/>
                <w:szCs w:val="20"/>
              </w:rPr>
              <w:t>lecture</w:t>
            </w:r>
            <w:r w:rsidR="001A5765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1A5765">
              <w:rPr>
                <w:rFonts w:ascii="Arial Narrow" w:hAnsi="Arial Narrow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F74B20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B020C9" w:rsidRDefault="00F74B20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DA266D" w:rsidRPr="00B020C9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A5765" w:rsidRDefault="001A576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DA266D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B020C9" w:rsidRDefault="00DA266D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A5765" w:rsidRDefault="008A1C31" w:rsidP="001A576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A5765">
              <w:rPr>
                <w:rFonts w:ascii="Arial Narrow" w:hAnsi="Arial Narrow" w:cs="Times New Roman"/>
                <w:sz w:val="20"/>
                <w:szCs w:val="20"/>
                <w:lang w:val="hr-BA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DA266D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B020C9" w:rsidRDefault="00DA266D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1A576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A5765" w:rsidRDefault="001A576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F74B20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B020C9" w:rsidRDefault="00F74B20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A266D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B020C9" w:rsidRDefault="001A576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020C9" w:rsidRDefault="0022399E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020C9" w:rsidRDefault="008A1C31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B020C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1A576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797F9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Default="009554C3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               Responsible Person of the Faculty</w:t>
      </w:r>
    </w:p>
    <w:p w:rsidR="009554C3" w:rsidRPr="009554C3" w:rsidRDefault="009554C3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       ___________________________________</w:t>
      </w:r>
      <w:bookmarkStart w:id="0" w:name="_GoBack"/>
      <w:bookmarkEnd w:id="0"/>
    </w:p>
    <w:sectPr w:rsidR="009554C3" w:rsidRPr="009554C3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130" w:rsidRDefault="007A2130" w:rsidP="00662C2A">
      <w:pPr>
        <w:spacing w:after="0" w:line="240" w:lineRule="auto"/>
      </w:pPr>
      <w:r>
        <w:separator/>
      </w:r>
    </w:p>
  </w:endnote>
  <w:endnote w:type="continuationSeparator" w:id="0">
    <w:p w:rsidR="007A2130" w:rsidRDefault="007A213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130" w:rsidRDefault="007A2130" w:rsidP="00662C2A">
      <w:pPr>
        <w:spacing w:after="0" w:line="240" w:lineRule="auto"/>
      </w:pPr>
      <w:r>
        <w:separator/>
      </w:r>
    </w:p>
  </w:footnote>
  <w:footnote w:type="continuationSeparator" w:id="0">
    <w:p w:rsidR="007A2130" w:rsidRDefault="007A2130" w:rsidP="00662C2A">
      <w:pPr>
        <w:spacing w:after="0" w:line="240" w:lineRule="auto"/>
      </w:pPr>
      <w:r>
        <w:continuationSeparator/>
      </w:r>
    </w:p>
  </w:footnote>
  <w:footnote w:id="1">
    <w:p w:rsidR="00D16D8C" w:rsidRDefault="001A5765" w:rsidP="00D16D8C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="00D16D8C">
        <w:rPr>
          <w:rFonts w:ascii="Arial Narrow" w:hAnsi="Arial Narrow"/>
          <w:sz w:val="16"/>
          <w:szCs w:val="16"/>
        </w:rPr>
        <w:t xml:space="preserve">Coefficient of student workload </w:t>
      </w:r>
      <w:r w:rsidR="00D16D8C">
        <w:rPr>
          <w:rFonts w:ascii="Arial Narrow" w:hAnsi="Arial Narrow"/>
          <w:sz w:val="16"/>
          <w:szCs w:val="16"/>
          <w:lang w:val="sr-Latn-BA"/>
        </w:rPr>
        <w:t>S</w:t>
      </w:r>
      <w:r w:rsidR="00D16D8C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="00D16D8C">
        <w:rPr>
          <w:rFonts w:ascii="Arial Narrow" w:hAnsi="Arial Narrow"/>
          <w:sz w:val="16"/>
          <w:szCs w:val="16"/>
        </w:rPr>
        <w:t xml:space="preserve"> is calculated as it follows:</w:t>
      </w:r>
    </w:p>
    <w:p w:rsidR="00D16D8C" w:rsidRDefault="00D16D8C" w:rsidP="00D16D8C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D16D8C" w:rsidRDefault="00D16D8C" w:rsidP="00D16D8C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1A5765" w:rsidRPr="00DA36D9" w:rsidRDefault="001A5765" w:rsidP="00D16D8C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7060B"/>
    <w:multiLevelType w:val="hybridMultilevel"/>
    <w:tmpl w:val="D2988F02"/>
    <w:lvl w:ilvl="0" w:tplc="8E76C3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1165"/>
    <w:rsid w:val="000209E1"/>
    <w:rsid w:val="00044888"/>
    <w:rsid w:val="00045978"/>
    <w:rsid w:val="00060A17"/>
    <w:rsid w:val="000666C0"/>
    <w:rsid w:val="0007166D"/>
    <w:rsid w:val="00073BE8"/>
    <w:rsid w:val="000769F5"/>
    <w:rsid w:val="00080392"/>
    <w:rsid w:val="000C20EE"/>
    <w:rsid w:val="000C4C55"/>
    <w:rsid w:val="000E6CA4"/>
    <w:rsid w:val="000F4E9A"/>
    <w:rsid w:val="00142472"/>
    <w:rsid w:val="00191E6E"/>
    <w:rsid w:val="001A5765"/>
    <w:rsid w:val="001B2701"/>
    <w:rsid w:val="001B6A8D"/>
    <w:rsid w:val="001E27BB"/>
    <w:rsid w:val="0022399E"/>
    <w:rsid w:val="00225DD1"/>
    <w:rsid w:val="0022637E"/>
    <w:rsid w:val="0025174A"/>
    <w:rsid w:val="00281A2D"/>
    <w:rsid w:val="002833F0"/>
    <w:rsid w:val="002B0879"/>
    <w:rsid w:val="002B7BE9"/>
    <w:rsid w:val="002C2771"/>
    <w:rsid w:val="002D668F"/>
    <w:rsid w:val="002F26AB"/>
    <w:rsid w:val="00322925"/>
    <w:rsid w:val="00322EE9"/>
    <w:rsid w:val="003277C3"/>
    <w:rsid w:val="00345524"/>
    <w:rsid w:val="00355B14"/>
    <w:rsid w:val="0037103D"/>
    <w:rsid w:val="003712AF"/>
    <w:rsid w:val="003848E7"/>
    <w:rsid w:val="003875A1"/>
    <w:rsid w:val="00393CD9"/>
    <w:rsid w:val="003949C6"/>
    <w:rsid w:val="003A52B9"/>
    <w:rsid w:val="003B1A86"/>
    <w:rsid w:val="003B506A"/>
    <w:rsid w:val="003B5A99"/>
    <w:rsid w:val="003C39B1"/>
    <w:rsid w:val="003D13AC"/>
    <w:rsid w:val="003D47F5"/>
    <w:rsid w:val="003D7592"/>
    <w:rsid w:val="003E6114"/>
    <w:rsid w:val="0040252E"/>
    <w:rsid w:val="00417254"/>
    <w:rsid w:val="00421F85"/>
    <w:rsid w:val="0043206D"/>
    <w:rsid w:val="00446201"/>
    <w:rsid w:val="0045166B"/>
    <w:rsid w:val="00452ED0"/>
    <w:rsid w:val="004601FF"/>
    <w:rsid w:val="00470745"/>
    <w:rsid w:val="00485D8F"/>
    <w:rsid w:val="004B3B07"/>
    <w:rsid w:val="004C48CC"/>
    <w:rsid w:val="004D7CC7"/>
    <w:rsid w:val="00507301"/>
    <w:rsid w:val="0051568C"/>
    <w:rsid w:val="00516283"/>
    <w:rsid w:val="00516918"/>
    <w:rsid w:val="005300A6"/>
    <w:rsid w:val="00537EBF"/>
    <w:rsid w:val="00545329"/>
    <w:rsid w:val="00550AD9"/>
    <w:rsid w:val="00564658"/>
    <w:rsid w:val="0056792C"/>
    <w:rsid w:val="00573206"/>
    <w:rsid w:val="00581BDB"/>
    <w:rsid w:val="00592CFD"/>
    <w:rsid w:val="005939A5"/>
    <w:rsid w:val="005B5014"/>
    <w:rsid w:val="005D1DF5"/>
    <w:rsid w:val="005D77D1"/>
    <w:rsid w:val="005F6D4B"/>
    <w:rsid w:val="00620598"/>
    <w:rsid w:val="00621E22"/>
    <w:rsid w:val="006271D5"/>
    <w:rsid w:val="006408A4"/>
    <w:rsid w:val="00662C2A"/>
    <w:rsid w:val="00671CC0"/>
    <w:rsid w:val="00686EE2"/>
    <w:rsid w:val="00696562"/>
    <w:rsid w:val="006D08EC"/>
    <w:rsid w:val="006D2D24"/>
    <w:rsid w:val="006F0B86"/>
    <w:rsid w:val="006F0D88"/>
    <w:rsid w:val="00707181"/>
    <w:rsid w:val="00715A16"/>
    <w:rsid w:val="00720EA3"/>
    <w:rsid w:val="00727088"/>
    <w:rsid w:val="00741E90"/>
    <w:rsid w:val="007542CB"/>
    <w:rsid w:val="00764576"/>
    <w:rsid w:val="00797F9F"/>
    <w:rsid w:val="007A2130"/>
    <w:rsid w:val="007A2A59"/>
    <w:rsid w:val="007A7335"/>
    <w:rsid w:val="007C57E8"/>
    <w:rsid w:val="007D4D9B"/>
    <w:rsid w:val="007E582F"/>
    <w:rsid w:val="007F2104"/>
    <w:rsid w:val="00817290"/>
    <w:rsid w:val="00825E45"/>
    <w:rsid w:val="00832DA2"/>
    <w:rsid w:val="00834BB9"/>
    <w:rsid w:val="00885C7A"/>
    <w:rsid w:val="008A1C31"/>
    <w:rsid w:val="008A5AAE"/>
    <w:rsid w:val="008C484B"/>
    <w:rsid w:val="008C71A7"/>
    <w:rsid w:val="008D5263"/>
    <w:rsid w:val="008E6F9C"/>
    <w:rsid w:val="008F54FF"/>
    <w:rsid w:val="00907470"/>
    <w:rsid w:val="009469E1"/>
    <w:rsid w:val="00953D0B"/>
    <w:rsid w:val="009542F0"/>
    <w:rsid w:val="009554C3"/>
    <w:rsid w:val="00956E1B"/>
    <w:rsid w:val="00956E81"/>
    <w:rsid w:val="00964A76"/>
    <w:rsid w:val="009A7462"/>
    <w:rsid w:val="009C12A9"/>
    <w:rsid w:val="009C6099"/>
    <w:rsid w:val="009D2E0C"/>
    <w:rsid w:val="009E5B3A"/>
    <w:rsid w:val="00A03473"/>
    <w:rsid w:val="00A05E6A"/>
    <w:rsid w:val="00A24E33"/>
    <w:rsid w:val="00A255BB"/>
    <w:rsid w:val="00A45AB1"/>
    <w:rsid w:val="00A57252"/>
    <w:rsid w:val="00A6669B"/>
    <w:rsid w:val="00A66A97"/>
    <w:rsid w:val="00A70DAC"/>
    <w:rsid w:val="00A7160F"/>
    <w:rsid w:val="00A8544E"/>
    <w:rsid w:val="00A93A15"/>
    <w:rsid w:val="00A950CF"/>
    <w:rsid w:val="00A96387"/>
    <w:rsid w:val="00AA35A3"/>
    <w:rsid w:val="00AC1498"/>
    <w:rsid w:val="00AC1F58"/>
    <w:rsid w:val="00AC6537"/>
    <w:rsid w:val="00AD2B40"/>
    <w:rsid w:val="00AD6782"/>
    <w:rsid w:val="00AD6D22"/>
    <w:rsid w:val="00AF6F4F"/>
    <w:rsid w:val="00B020C9"/>
    <w:rsid w:val="00B10192"/>
    <w:rsid w:val="00B24F94"/>
    <w:rsid w:val="00B26CAE"/>
    <w:rsid w:val="00B27FCB"/>
    <w:rsid w:val="00B33057"/>
    <w:rsid w:val="00B36B65"/>
    <w:rsid w:val="00B41027"/>
    <w:rsid w:val="00B60BFC"/>
    <w:rsid w:val="00B72B86"/>
    <w:rsid w:val="00B732CF"/>
    <w:rsid w:val="00B73D94"/>
    <w:rsid w:val="00B85FA2"/>
    <w:rsid w:val="00B91E28"/>
    <w:rsid w:val="00B93FA8"/>
    <w:rsid w:val="00B94753"/>
    <w:rsid w:val="00BA0BAE"/>
    <w:rsid w:val="00BB3616"/>
    <w:rsid w:val="00BC2BA7"/>
    <w:rsid w:val="00BD17B8"/>
    <w:rsid w:val="00C01B7E"/>
    <w:rsid w:val="00C0738D"/>
    <w:rsid w:val="00C275B8"/>
    <w:rsid w:val="00C31AE2"/>
    <w:rsid w:val="00C36E2B"/>
    <w:rsid w:val="00C85CCF"/>
    <w:rsid w:val="00C93003"/>
    <w:rsid w:val="00C94566"/>
    <w:rsid w:val="00C94F5F"/>
    <w:rsid w:val="00CA7FAB"/>
    <w:rsid w:val="00CB3299"/>
    <w:rsid w:val="00CB7036"/>
    <w:rsid w:val="00CC6752"/>
    <w:rsid w:val="00CC7446"/>
    <w:rsid w:val="00CD1242"/>
    <w:rsid w:val="00D15E35"/>
    <w:rsid w:val="00D16D8C"/>
    <w:rsid w:val="00D42836"/>
    <w:rsid w:val="00D4285C"/>
    <w:rsid w:val="00D4458E"/>
    <w:rsid w:val="00D86BE6"/>
    <w:rsid w:val="00D86FF0"/>
    <w:rsid w:val="00D93B3E"/>
    <w:rsid w:val="00DA266D"/>
    <w:rsid w:val="00DC452B"/>
    <w:rsid w:val="00DE1806"/>
    <w:rsid w:val="00DF29EF"/>
    <w:rsid w:val="00E11751"/>
    <w:rsid w:val="00E408B7"/>
    <w:rsid w:val="00E4233F"/>
    <w:rsid w:val="00E43623"/>
    <w:rsid w:val="00E50261"/>
    <w:rsid w:val="00E5702E"/>
    <w:rsid w:val="00E579B5"/>
    <w:rsid w:val="00E6015C"/>
    <w:rsid w:val="00E6315C"/>
    <w:rsid w:val="00E72E4F"/>
    <w:rsid w:val="00E77298"/>
    <w:rsid w:val="00E97ECD"/>
    <w:rsid w:val="00EA30F6"/>
    <w:rsid w:val="00EB68F5"/>
    <w:rsid w:val="00ED298D"/>
    <w:rsid w:val="00ED59F8"/>
    <w:rsid w:val="00F556A3"/>
    <w:rsid w:val="00F74B20"/>
    <w:rsid w:val="00F85D1D"/>
    <w:rsid w:val="00F945BF"/>
    <w:rsid w:val="00FC0946"/>
    <w:rsid w:val="00FD7B84"/>
    <w:rsid w:val="00FE13B0"/>
    <w:rsid w:val="00FE3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6BE91-6C2A-44A2-A7CE-618E74CC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E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E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537E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2515000-F084-4118-AE76-2A5B94E5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2023-11-24T10:00:00Z</cp:lastPrinted>
  <dcterms:created xsi:type="dcterms:W3CDTF">2020-02-17T11:33:00Z</dcterms:created>
  <dcterms:modified xsi:type="dcterms:W3CDTF">2023-11-24T10:01:00Z</dcterms:modified>
</cp:coreProperties>
</file>