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426"/>
        <w:gridCol w:w="380"/>
        <w:gridCol w:w="464"/>
        <w:gridCol w:w="6"/>
        <w:gridCol w:w="425"/>
        <w:gridCol w:w="851"/>
        <w:gridCol w:w="820"/>
        <w:gridCol w:w="70"/>
        <w:gridCol w:w="386"/>
        <w:gridCol w:w="141"/>
        <w:gridCol w:w="1134"/>
        <w:gridCol w:w="422"/>
        <w:gridCol w:w="553"/>
        <w:gridCol w:w="297"/>
        <w:gridCol w:w="695"/>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048" w:type="dxa"/>
            <w:gridSpan w:val="3"/>
            <w:vMerge w:val="restart"/>
            <w:shd w:val="clear" w:color="auto" w:fill="auto"/>
            <w:vAlign w:val="center"/>
          </w:tcPr>
          <w:p>
            <w:pPr>
              <w:spacing w:after="0" w:line="240" w:lineRule="auto"/>
              <w:jc w:val="center"/>
              <w:rPr>
                <w:rFonts w:ascii="Arial Narrow" w:hAnsi="Arial Narrow" w:cs="Times New Roman"/>
                <w:sz w:val="20"/>
                <w:szCs w:val="20"/>
                <w:lang w:val="sr-Cyrl-BA"/>
              </w:rPr>
            </w:pPr>
            <w:bookmarkStart w:id="0" w:name="_GoBack"/>
            <w:bookmarkEnd w:id="0"/>
            <w:r>
              <w:rPr>
                <w:rFonts w:ascii="Arial Narrow" w:hAnsi="Arial Narrow" w:cs="Times New Roman"/>
                <w:sz w:val="20"/>
                <w:szCs w:val="20"/>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43343" cy="743343"/>
                          </a:xfrm>
                          <a:prstGeom prst="rect">
                            <a:avLst/>
                          </a:prstGeom>
                          <a:noFill/>
                        </pic:spPr>
                      </pic:pic>
                    </a:graphicData>
                  </a:graphic>
                </wp:inline>
              </w:drawing>
            </w:r>
          </w:p>
        </w:tc>
        <w:tc>
          <w:tcPr>
            <w:tcW w:w="5272" w:type="dxa"/>
            <w:gridSpan w:val="11"/>
            <w:tcBorders>
              <w:bottom w:val="single" w:color="auto" w:sz="4" w:space="0"/>
            </w:tcBorders>
            <w:vAlign w:val="center"/>
          </w:tcPr>
          <w:p>
            <w:pPr>
              <w:spacing w:after="0" w:line="240" w:lineRule="auto"/>
              <w:jc w:val="center"/>
              <w:rPr>
                <w:rFonts w:ascii="Arial Narrow" w:hAnsi="Arial Narrow"/>
                <w:b/>
                <w:sz w:val="20"/>
                <w:szCs w:val="20"/>
                <w:lang w:val="en-US"/>
              </w:rPr>
            </w:pPr>
            <w:r>
              <w:rPr>
                <w:rFonts w:ascii="Arial Narrow" w:hAnsi="Arial Narrow"/>
                <w:b/>
                <w:sz w:val="20"/>
                <w:szCs w:val="20"/>
                <w:lang w:val="en-US"/>
              </w:rPr>
              <w:t>UNIVERSITY OF EAST SARAJEVO</w:t>
            </w:r>
          </w:p>
          <w:p>
            <w:pPr>
              <w:spacing w:after="0" w:line="240" w:lineRule="auto"/>
              <w:jc w:val="center"/>
              <w:rPr>
                <w:rFonts w:ascii="Arial Narrow" w:hAnsi="Arial Narrow" w:cs="Times New Roman"/>
                <w:b/>
                <w:sz w:val="20"/>
                <w:szCs w:val="20"/>
                <w:lang w:val="en-GB"/>
              </w:rPr>
            </w:pPr>
            <w:r>
              <w:rPr>
                <w:rFonts w:ascii="Arial Narrow" w:hAnsi="Arial Narrow"/>
                <w:sz w:val="20"/>
                <w:szCs w:val="20"/>
                <w:lang w:val="en-US"/>
              </w:rPr>
              <w:t>Faculty of Medicine</w:t>
            </w:r>
          </w:p>
        </w:tc>
        <w:tc>
          <w:tcPr>
            <w:tcW w:w="2286" w:type="dxa"/>
            <w:gridSpan w:val="3"/>
            <w:vMerge w:val="restart"/>
            <w:vAlign w:val="center"/>
          </w:tcPr>
          <w:p>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en-US"/>
              </w:rPr>
              <w:drawing>
                <wp:anchor distT="0" distB="0" distL="114300" distR="114300" simplePos="0" relativeHeight="251659264" behindDoc="0" locked="0" layoutInCell="1" allowOverlap="1">
                  <wp:simplePos x="0" y="0"/>
                  <wp:positionH relativeFrom="margin">
                    <wp:posOffset>180340</wp:posOffset>
                  </wp:positionH>
                  <wp:positionV relativeFrom="paragraph">
                    <wp:posOffset>12065</wp:posOffset>
                  </wp:positionV>
                  <wp:extent cx="833755" cy="789940"/>
                  <wp:effectExtent l="19050" t="0" r="444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8" cstate="print"/>
                          <a:srcRect/>
                          <a:stretch>
                            <a:fillRect/>
                          </a:stretch>
                        </pic:blipFill>
                        <pic:spPr>
                          <a:xfrm>
                            <a:off x="0" y="0"/>
                            <a:ext cx="833755" cy="789940"/>
                          </a:xfrm>
                          <a:prstGeom prst="rect">
                            <a:avLst/>
                          </a:prstGeom>
                          <a:noFill/>
                          <a:ln w="9525">
                            <a:noFill/>
                            <a:miter lim="800000"/>
                            <a:headEnd/>
                            <a:tailEnd/>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048" w:type="dxa"/>
            <w:gridSpan w:val="3"/>
            <w:vMerge w:val="continue"/>
            <w:shd w:val="clear" w:color="auto" w:fill="auto"/>
            <w:vAlign w:val="center"/>
          </w:tcPr>
          <w:p>
            <w:pPr>
              <w:spacing w:after="0" w:line="240" w:lineRule="auto"/>
              <w:rPr>
                <w:rFonts w:ascii="Arial Narrow" w:hAnsi="Arial Narrow" w:cs="Times New Roman"/>
                <w:sz w:val="20"/>
                <w:szCs w:val="20"/>
                <w:lang w:val="sr-Cyrl-BA"/>
              </w:rPr>
            </w:pPr>
          </w:p>
        </w:tc>
        <w:tc>
          <w:tcPr>
            <w:tcW w:w="5272" w:type="dxa"/>
            <w:gridSpan w:val="11"/>
            <w:shd w:val="clear" w:color="auto" w:fill="BEBEBE" w:themeFill="background1" w:themeFillShade="BF"/>
            <w:vAlign w:val="center"/>
          </w:tcPr>
          <w:p>
            <w:pPr>
              <w:spacing w:after="0" w:line="240" w:lineRule="auto"/>
              <w:jc w:val="center"/>
              <w:rPr>
                <w:rFonts w:ascii="Arial Narrow" w:hAnsi="Arial Narrow" w:cs="Times New Roman"/>
                <w:b/>
                <w:i/>
                <w:sz w:val="20"/>
                <w:szCs w:val="20"/>
              </w:rPr>
            </w:pPr>
            <w:r>
              <w:rPr>
                <w:rFonts w:ascii="Arial Narrow" w:hAnsi="Arial Narrow"/>
                <w:b/>
                <w:i/>
                <w:sz w:val="20"/>
                <w:szCs w:val="20"/>
                <w:lang w:val="en-US"/>
              </w:rPr>
              <w:t>Study program</w:t>
            </w:r>
            <w:r>
              <w:rPr>
                <w:rFonts w:ascii="Arial Narrow" w:hAnsi="Arial Narrow"/>
                <w:b/>
                <w:i/>
                <w:sz w:val="20"/>
                <w:szCs w:val="20"/>
                <w:lang w:val="sr-Cyrl-BA"/>
              </w:rPr>
              <w:t>:</w:t>
            </w:r>
            <w:r>
              <w:rPr>
                <w:rFonts w:ascii="Arial Narrow" w:hAnsi="Arial Narrow"/>
                <w:b/>
                <w:i/>
                <w:sz w:val="20"/>
                <w:szCs w:val="20"/>
                <w:lang w:val="en-US"/>
              </w:rPr>
              <w:t>medicine</w:t>
            </w:r>
          </w:p>
        </w:tc>
        <w:tc>
          <w:tcPr>
            <w:tcW w:w="2286" w:type="dxa"/>
            <w:gridSpan w:val="3"/>
            <w:vMerge w:val="continue"/>
            <w:vAlign w:val="center"/>
          </w:tcPr>
          <w:p>
            <w:pPr>
              <w:spacing w:after="0" w:line="240" w:lineRule="auto"/>
              <w:rPr>
                <w:rFonts w:ascii="Arial Narrow" w:hAnsi="Arial Narrow" w:cs="Times New Roman"/>
                <w:sz w:val="20"/>
                <w:szCs w:val="20"/>
                <w:lang w:val="sr-Cyrl-B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8" w:type="dxa"/>
            <w:gridSpan w:val="3"/>
            <w:vMerge w:val="continue"/>
            <w:tcBorders>
              <w:bottom w:val="single" w:color="auto" w:sz="4" w:space="0"/>
            </w:tcBorders>
            <w:shd w:val="clear" w:color="auto" w:fill="auto"/>
            <w:vAlign w:val="center"/>
          </w:tcPr>
          <w:p>
            <w:pPr>
              <w:spacing w:after="0" w:line="240" w:lineRule="auto"/>
              <w:rPr>
                <w:rFonts w:ascii="Arial Narrow" w:hAnsi="Arial Narrow" w:cs="Times New Roman"/>
                <w:sz w:val="20"/>
                <w:szCs w:val="20"/>
                <w:lang w:val="sr-Cyrl-BA"/>
              </w:rPr>
            </w:pPr>
          </w:p>
        </w:tc>
        <w:tc>
          <w:tcPr>
            <w:tcW w:w="2636" w:type="dxa"/>
            <w:gridSpan w:val="6"/>
            <w:tcBorders>
              <w:bottom w:val="single" w:color="auto" w:sz="4" w:space="0"/>
            </w:tcBorders>
            <w:vAlign w:val="center"/>
          </w:tcPr>
          <w:p>
            <w:pPr>
              <w:spacing w:after="0" w:line="240" w:lineRule="auto"/>
              <w:jc w:val="center"/>
              <w:rPr>
                <w:rFonts w:ascii="Arial Narrow" w:hAnsi="Arial Narrow"/>
                <w:sz w:val="20"/>
                <w:szCs w:val="20"/>
                <w:lang w:val="sr-Cyrl-BA"/>
              </w:rPr>
            </w:pPr>
            <w:r>
              <w:rPr>
                <w:rFonts w:ascii="Arial Narrow" w:hAnsi="Arial Narrow"/>
                <w:sz w:val="20"/>
                <w:szCs w:val="20"/>
                <w:lang w:val="en-US"/>
              </w:rPr>
              <w:t>Integrated academic studies</w:t>
            </w:r>
          </w:p>
        </w:tc>
        <w:tc>
          <w:tcPr>
            <w:tcW w:w="2636" w:type="dxa"/>
            <w:gridSpan w:val="5"/>
            <w:tcBorders>
              <w:bottom w:val="single" w:color="auto" w:sz="4" w:space="0"/>
            </w:tcBorders>
            <w:vAlign w:val="center"/>
          </w:tcPr>
          <w:p>
            <w:pPr>
              <w:spacing w:after="0" w:line="240" w:lineRule="auto"/>
              <w:jc w:val="center"/>
              <w:rPr>
                <w:rFonts w:ascii="Arial Narrow" w:hAnsi="Arial Narrow"/>
                <w:sz w:val="20"/>
                <w:szCs w:val="20"/>
                <w:lang w:val="sr-Cyrl-BA"/>
              </w:rPr>
            </w:pPr>
            <w:r>
              <w:rPr>
                <w:rFonts w:ascii="Arial Narrow" w:hAnsi="Arial Narrow"/>
                <w:sz w:val="20"/>
                <w:szCs w:val="20"/>
                <w:lang w:val="sr-Latn-CS"/>
              </w:rPr>
              <w:t xml:space="preserve">II </w:t>
            </w:r>
            <w:r>
              <w:rPr>
                <w:rFonts w:ascii="Arial Narrow" w:hAnsi="Arial Narrow"/>
                <w:sz w:val="20"/>
                <w:szCs w:val="20"/>
                <w:lang w:val="en-US"/>
              </w:rPr>
              <w:t>study year</w:t>
            </w:r>
          </w:p>
        </w:tc>
        <w:tc>
          <w:tcPr>
            <w:tcW w:w="2286" w:type="dxa"/>
            <w:gridSpan w:val="3"/>
            <w:vMerge w:val="continue"/>
            <w:tcBorders>
              <w:bottom w:val="single" w:color="auto" w:sz="4" w:space="0"/>
            </w:tcBorders>
            <w:vAlign w:val="center"/>
          </w:tcPr>
          <w:p>
            <w:pPr>
              <w:spacing w:after="0" w:line="240" w:lineRule="auto"/>
              <w:rPr>
                <w:rFonts w:ascii="Arial Narrow" w:hAnsi="Arial Narrow" w:cs="Times New Roman"/>
                <w:sz w:val="20"/>
                <w:szCs w:val="20"/>
                <w:lang w:val="sr-Cyrl-B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8" w:type="dxa"/>
            <w:gridSpan w:val="3"/>
            <w:shd w:val="clear" w:color="auto" w:fill="D8D8D8" w:themeFill="background1" w:themeFillShade="D9"/>
            <w:vAlign w:val="center"/>
          </w:tcPr>
          <w:p>
            <w:pPr>
              <w:spacing w:after="0" w:line="240" w:lineRule="auto"/>
              <w:rPr>
                <w:rFonts w:ascii="Arial Narrow" w:hAnsi="Arial Narrow"/>
                <w:b/>
                <w:sz w:val="20"/>
                <w:szCs w:val="20"/>
                <w:lang w:val="sr-Cyrl-BA"/>
              </w:rPr>
            </w:pPr>
            <w:r>
              <w:rPr>
                <w:rFonts w:ascii="Arial Narrow" w:hAnsi="Arial Narrow"/>
                <w:b/>
                <w:sz w:val="20"/>
                <w:szCs w:val="20"/>
                <w:lang w:val="en-US"/>
              </w:rPr>
              <w:t>Full subject title</w:t>
            </w:r>
          </w:p>
        </w:tc>
        <w:tc>
          <w:tcPr>
            <w:tcW w:w="7558" w:type="dxa"/>
            <w:gridSpan w:val="14"/>
            <w:vAlign w:val="center"/>
          </w:tcPr>
          <w:p>
            <w:pPr>
              <w:spacing w:after="0" w:line="240" w:lineRule="auto"/>
              <w:rPr>
                <w:rFonts w:ascii="Arial Narrow" w:hAnsi="Arial Narrow" w:cs="Times New Roman"/>
                <w:sz w:val="20"/>
                <w:szCs w:val="20"/>
                <w:lang w:val="en-GB"/>
              </w:rPr>
            </w:pPr>
            <w:r>
              <w:rPr>
                <w:rFonts w:ascii="Arial Narrow" w:hAnsi="Arial Narrow" w:cs="Times New Roman"/>
                <w:b/>
                <w:sz w:val="20"/>
                <w:szCs w:val="20"/>
                <w:lang w:val="en-GB"/>
              </w:rPr>
              <w:t xml:space="preserve">  </w:t>
            </w:r>
            <w:r>
              <w:rPr>
                <w:rFonts w:ascii="Arial Narrow" w:hAnsi="Arial Narrow" w:cs="Times New Roman"/>
                <w:sz w:val="20"/>
                <w:szCs w:val="20"/>
                <w:lang w:val="sr-Cyrl-BA"/>
              </w:rPr>
              <w:t>MICROBIOLOGY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8" w:type="dxa"/>
            <w:gridSpan w:val="3"/>
            <w:tcBorders>
              <w:bottom w:val="single" w:color="auto" w:sz="4" w:space="0"/>
            </w:tcBorders>
            <w:shd w:val="clear" w:color="auto" w:fill="D8D8D8" w:themeFill="background1" w:themeFillShade="D9"/>
            <w:vAlign w:val="center"/>
          </w:tcPr>
          <w:p>
            <w:pPr>
              <w:spacing w:after="0" w:line="240" w:lineRule="auto"/>
              <w:rPr>
                <w:rFonts w:ascii="Arial Narrow" w:hAnsi="Arial Narrow"/>
                <w:b/>
                <w:sz w:val="20"/>
                <w:szCs w:val="20"/>
                <w:lang w:val="sr-Cyrl-BA"/>
              </w:rPr>
            </w:pPr>
            <w:r>
              <w:rPr>
                <w:rFonts w:ascii="Arial Narrow" w:hAnsi="Arial Narrow"/>
                <w:b/>
                <w:sz w:val="20"/>
                <w:szCs w:val="20"/>
                <w:lang w:val="en-US"/>
              </w:rPr>
              <w:t>Department</w:t>
            </w:r>
          </w:p>
        </w:tc>
        <w:tc>
          <w:tcPr>
            <w:tcW w:w="7558" w:type="dxa"/>
            <w:gridSpan w:val="14"/>
            <w:tcBorders>
              <w:bottom w:val="single" w:color="auto" w:sz="4" w:space="0"/>
            </w:tcBorders>
            <w:vAlign w:val="center"/>
          </w:tcPr>
          <w:p>
            <w:pPr>
              <w:spacing w:after="0" w:line="240" w:lineRule="auto"/>
              <w:rPr>
                <w:rFonts w:ascii="Arial Narrow" w:hAnsi="Arial Narrow" w:cs="Times New Roman"/>
                <w:sz w:val="20"/>
                <w:szCs w:val="20"/>
              </w:rPr>
            </w:pPr>
            <w:r>
              <w:rPr>
                <w:rFonts w:ascii="Arial Narrow" w:hAnsi="Arial Narrow" w:cs="Times New Roman"/>
                <w:sz w:val="20"/>
                <w:szCs w:val="20"/>
                <w:lang w:val="en-GB"/>
              </w:rPr>
              <w:t xml:space="preserve">Department of Propedeutics, </w:t>
            </w:r>
            <w:r>
              <w:rPr>
                <w:rFonts w:ascii="Arial Narrow" w:hAnsi="Arial Narrow"/>
                <w:sz w:val="20"/>
                <w:szCs w:val="20"/>
                <w:lang w:val="hr-BA"/>
              </w:rPr>
              <w:t>Faculty of Medicine in Foca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2943" w:type="dxa"/>
            <w:gridSpan w:val="6"/>
            <w:vMerge w:val="restart"/>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Subject code</w:t>
            </w:r>
          </w:p>
        </w:tc>
        <w:tc>
          <w:tcPr>
            <w:tcW w:w="2268" w:type="dxa"/>
            <w:gridSpan w:val="5"/>
            <w:vMerge w:val="restart"/>
            <w:shd w:val="clear" w:color="auto" w:fill="D8D8D8" w:themeFill="background1" w:themeFillShade="D9"/>
            <w:vAlign w:val="center"/>
          </w:tcPr>
          <w:p>
            <w:pPr>
              <w:spacing w:after="0" w:line="240" w:lineRule="auto"/>
              <w:jc w:val="center"/>
              <w:rPr>
                <w:rFonts w:ascii="Arial Narrow" w:hAnsi="Arial Narrow"/>
                <w:b/>
                <w:sz w:val="20"/>
                <w:szCs w:val="20"/>
                <w:lang w:val="sr-Latn-BA"/>
              </w:rPr>
            </w:pPr>
            <w:r>
              <w:rPr>
                <w:rFonts w:ascii="Arial Narrow" w:hAnsi="Arial Narrow"/>
                <w:b/>
                <w:sz w:val="20"/>
                <w:szCs w:val="20"/>
              </w:rPr>
              <w:t>Subject status</w:t>
            </w:r>
          </w:p>
        </w:tc>
        <w:tc>
          <w:tcPr>
            <w:tcW w:w="2109" w:type="dxa"/>
            <w:gridSpan w:val="3"/>
            <w:vMerge w:val="restart"/>
            <w:shd w:val="clear" w:color="auto" w:fill="D8D8D8" w:themeFill="background1" w:themeFillShade="D9"/>
            <w:vAlign w:val="center"/>
          </w:tcPr>
          <w:p>
            <w:pPr>
              <w:spacing w:after="0" w:line="240" w:lineRule="auto"/>
              <w:jc w:val="center"/>
              <w:rPr>
                <w:rFonts w:ascii="Arial Narrow" w:hAnsi="Arial Narrow"/>
                <w:b/>
                <w:sz w:val="20"/>
                <w:szCs w:val="20"/>
                <w:lang w:val="sr-Latn-BA"/>
              </w:rPr>
            </w:pPr>
            <w:r>
              <w:rPr>
                <w:rFonts w:ascii="Arial Narrow" w:hAnsi="Arial Narrow"/>
                <w:b/>
                <w:sz w:val="20"/>
                <w:szCs w:val="20"/>
              </w:rPr>
              <w:t>Semester</w:t>
            </w:r>
          </w:p>
        </w:tc>
        <w:tc>
          <w:tcPr>
            <w:tcW w:w="2286" w:type="dxa"/>
            <w:gridSpan w:val="3"/>
            <w:vMerge w:val="restart"/>
            <w:shd w:val="clear" w:color="auto" w:fill="D8D8D8" w:themeFill="background1" w:themeFillShade="D9"/>
            <w:vAlign w:val="center"/>
          </w:tcPr>
          <w:p>
            <w:pPr>
              <w:spacing w:after="0" w:line="240" w:lineRule="auto"/>
              <w:jc w:val="center"/>
              <w:rPr>
                <w:rFonts w:ascii="Arial Narrow" w:hAnsi="Arial Narrow" w:cs="Times New Roman"/>
                <w:b/>
                <w:sz w:val="20"/>
                <w:szCs w:val="20"/>
                <w:lang w:val="sr-Latn-BA"/>
              </w:rPr>
            </w:pPr>
            <w:r>
              <w:rPr>
                <w:rFonts w:ascii="Arial Narrow" w:hAnsi="Arial Narrow" w:cs="Times New Roman"/>
                <w:b/>
                <w:sz w:val="20"/>
                <w:szCs w:val="20"/>
                <w:lang w:val="sr-Latn-BA"/>
              </w:rPr>
              <w:t>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2943" w:type="dxa"/>
            <w:gridSpan w:val="6"/>
            <w:vMerge w:val="continue"/>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cs="Times New Roman"/>
                <w:sz w:val="20"/>
                <w:szCs w:val="20"/>
                <w:lang w:val="sr-Cyrl-BA"/>
              </w:rPr>
            </w:pPr>
          </w:p>
        </w:tc>
        <w:tc>
          <w:tcPr>
            <w:tcW w:w="2268" w:type="dxa"/>
            <w:gridSpan w:val="5"/>
            <w:vMerge w:val="continue"/>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cs="Times New Roman"/>
                <w:sz w:val="20"/>
                <w:szCs w:val="20"/>
                <w:lang w:val="sr-Cyrl-BA"/>
              </w:rPr>
            </w:pPr>
          </w:p>
        </w:tc>
        <w:tc>
          <w:tcPr>
            <w:tcW w:w="2109" w:type="dxa"/>
            <w:gridSpan w:val="3"/>
            <w:vMerge w:val="continue"/>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cs="Times New Roman"/>
                <w:sz w:val="20"/>
                <w:szCs w:val="20"/>
                <w:lang w:val="sr-Cyrl-BA"/>
              </w:rPr>
            </w:pPr>
          </w:p>
        </w:tc>
        <w:tc>
          <w:tcPr>
            <w:tcW w:w="2286" w:type="dxa"/>
            <w:gridSpan w:val="3"/>
            <w:vMerge w:val="continue"/>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cs="Times New Roman"/>
                <w:sz w:val="20"/>
                <w:szCs w:val="20"/>
                <w:lang w:val="sr-Latn-B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gridSpan w:val="6"/>
            <w:shd w:val="clear" w:color="auto" w:fill="auto"/>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ME-01-1-016-3; ME-01-1-016-4</w:t>
            </w:r>
          </w:p>
        </w:tc>
        <w:tc>
          <w:tcPr>
            <w:tcW w:w="2268" w:type="dxa"/>
            <w:gridSpan w:val="5"/>
            <w:shd w:val="clear" w:color="auto" w:fill="auto"/>
            <w:vAlign w:val="center"/>
          </w:tcPr>
          <w:p>
            <w:pPr>
              <w:spacing w:after="0" w:line="240" w:lineRule="auto"/>
              <w:jc w:val="center"/>
              <w:rPr>
                <w:rFonts w:ascii="Arial Narrow" w:hAnsi="Arial Narrow" w:cs="Times New Roman"/>
                <w:sz w:val="20"/>
                <w:szCs w:val="20"/>
                <w:lang w:val="en-GB"/>
              </w:rPr>
            </w:pPr>
            <w:r>
              <w:rPr>
                <w:rFonts w:ascii="Arial Narrow" w:hAnsi="Arial Narrow"/>
                <w:sz w:val="20"/>
                <w:szCs w:val="20"/>
                <w:lang w:val="hr-BA"/>
              </w:rPr>
              <w:t>compulsory</w:t>
            </w:r>
          </w:p>
        </w:tc>
        <w:tc>
          <w:tcPr>
            <w:tcW w:w="2109" w:type="dxa"/>
            <w:gridSpan w:val="3"/>
            <w:shd w:val="clear" w:color="auto" w:fill="auto"/>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 xml:space="preserve">III,IV </w:t>
            </w:r>
          </w:p>
        </w:tc>
        <w:tc>
          <w:tcPr>
            <w:tcW w:w="2286" w:type="dxa"/>
            <w:gridSpan w:val="3"/>
            <w:shd w:val="clear" w:color="auto" w:fill="auto"/>
            <w:vAlign w:val="center"/>
          </w:tcPr>
          <w:p>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Latn-B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shd w:val="clear" w:color="auto" w:fill="D8D8D8" w:themeFill="background1" w:themeFillShade="D9"/>
            <w:vAlign w:val="center"/>
          </w:tcPr>
          <w:p>
            <w:pPr>
              <w:spacing w:after="0" w:line="240" w:lineRule="auto"/>
              <w:rPr>
                <w:rFonts w:ascii="Arial Narrow" w:hAnsi="Arial Narrow"/>
                <w:b/>
                <w:sz w:val="20"/>
                <w:szCs w:val="20"/>
                <w:lang w:val="sr-Cyrl-BA"/>
              </w:rPr>
            </w:pPr>
            <w:r>
              <w:rPr>
                <w:rFonts w:ascii="Arial Narrow" w:hAnsi="Arial Narrow"/>
                <w:b/>
                <w:sz w:val="20"/>
                <w:szCs w:val="20"/>
              </w:rPr>
              <w:t>Professor</w:t>
            </w:r>
            <w:r>
              <w:rPr>
                <w:rFonts w:ascii="Arial Narrow" w:hAnsi="Arial Narrow"/>
                <w:b/>
                <w:sz w:val="20"/>
                <w:szCs w:val="20"/>
                <w:lang w:val="sr-Cyrl-BA"/>
              </w:rPr>
              <w:t>/ -</w:t>
            </w:r>
            <w:r>
              <w:rPr>
                <w:rFonts w:ascii="Arial Narrow" w:hAnsi="Arial Narrow"/>
                <w:b/>
                <w:sz w:val="20"/>
                <w:szCs w:val="20"/>
              </w:rPr>
              <w:t>s</w:t>
            </w:r>
          </w:p>
        </w:tc>
        <w:tc>
          <w:tcPr>
            <w:tcW w:w="7938" w:type="dxa"/>
            <w:gridSpan w:val="15"/>
            <w:vAlign w:val="center"/>
          </w:tcPr>
          <w:p>
            <w:pPr>
              <w:spacing w:after="0" w:line="240" w:lineRule="auto"/>
              <w:rPr>
                <w:rFonts w:ascii="Arial Narrow" w:hAnsi="Arial Narrow" w:cs="Times New Roman"/>
                <w:sz w:val="20"/>
                <w:szCs w:val="20"/>
                <w:lang w:val="en-GB"/>
              </w:rPr>
            </w:pPr>
            <w:r>
              <w:rPr>
                <w:rFonts w:ascii="Arial Narrow" w:hAnsi="Arial Narrow" w:cs="Times New Roman"/>
                <w:sz w:val="20"/>
                <w:szCs w:val="20"/>
                <w:lang w:val="en-GB"/>
              </w:rPr>
              <w:t>Full professor Nebojsa Arsenijevic,,MD PhD;</w:t>
            </w:r>
            <w:r>
              <w:rPr>
                <w:rFonts w:ascii="Arial Narrow" w:hAnsi="Arial Narrow" w:cs="Times New Roman"/>
                <w:sz w:val="20"/>
                <w:szCs w:val="20"/>
              </w:rPr>
              <w:t xml:space="preserve"> full professor Ivan Jovanovic, MD, PhD; assistant professor Nevena Gajovic, MD PhD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tcBorders>
              <w:bottom w:val="single" w:color="auto" w:sz="4" w:space="0"/>
            </w:tcBorders>
            <w:shd w:val="clear" w:color="auto" w:fill="D8D8D8" w:themeFill="background1" w:themeFillShade="D9"/>
            <w:vAlign w:val="center"/>
          </w:tcPr>
          <w:p>
            <w:pPr>
              <w:spacing w:after="0" w:line="240" w:lineRule="auto"/>
              <w:rPr>
                <w:rFonts w:ascii="Arial Narrow" w:hAnsi="Arial Narrow"/>
                <w:b/>
                <w:sz w:val="20"/>
                <w:szCs w:val="20"/>
                <w:lang w:val="sr-Cyrl-BA"/>
              </w:rPr>
            </w:pPr>
            <w:r>
              <w:rPr>
                <w:rFonts w:ascii="Arial Narrow" w:hAnsi="Arial Narrow"/>
                <w:b/>
                <w:sz w:val="20"/>
                <w:szCs w:val="20"/>
              </w:rPr>
              <w:t>Associate</w:t>
            </w:r>
            <w:r>
              <w:rPr>
                <w:rFonts w:ascii="Arial Narrow" w:hAnsi="Arial Narrow"/>
                <w:b/>
                <w:sz w:val="20"/>
                <w:szCs w:val="20"/>
                <w:lang w:val="sr-Cyrl-BA"/>
              </w:rPr>
              <w:t>/ -</w:t>
            </w:r>
            <w:r>
              <w:rPr>
                <w:rFonts w:ascii="Arial Narrow" w:hAnsi="Arial Narrow"/>
                <w:b/>
                <w:sz w:val="20"/>
                <w:szCs w:val="20"/>
              </w:rPr>
              <w:t>s</w:t>
            </w:r>
          </w:p>
        </w:tc>
        <w:tc>
          <w:tcPr>
            <w:tcW w:w="7938" w:type="dxa"/>
            <w:gridSpan w:val="15"/>
            <w:tcBorders>
              <w:bottom w:val="single" w:color="auto" w:sz="4" w:space="0"/>
            </w:tcBorders>
            <w:vAlign w:val="center"/>
          </w:tcPr>
          <w:p>
            <w:pPr>
              <w:spacing w:after="0" w:line="240" w:lineRule="auto"/>
              <w:rPr>
                <w:rFonts w:ascii="Arial Narrow" w:hAnsi="Arial Narrow" w:cs="Times New Roman"/>
                <w:sz w:val="20"/>
                <w:szCs w:val="20"/>
                <w:lang w:val="en-US"/>
              </w:rPr>
            </w:pPr>
            <w:r>
              <w:rPr>
                <w:rFonts w:ascii="Arial Narrow" w:hAnsi="Arial Narrow" w:cs="Times New Roman"/>
                <w:sz w:val="20"/>
                <w:szCs w:val="20"/>
                <w:lang w:val="en-US"/>
              </w:rPr>
              <w:t>Vladimir Markovic MD, Zorana Maric Ostovic MD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4" w:type="dxa"/>
            <w:gridSpan w:val="7"/>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Pr>
                <w:rFonts w:ascii="Arial Narrow" w:hAnsi="Arial Narrow"/>
                <w:b/>
                <w:sz w:val="20"/>
                <w:szCs w:val="20"/>
              </w:rPr>
              <w:t>per week</w:t>
            </w:r>
            <w:r>
              <w:rPr>
                <w:rFonts w:ascii="Arial Narrow" w:hAnsi="Arial Narrow"/>
                <w:b/>
                <w:sz w:val="20"/>
                <w:szCs w:val="20"/>
                <w:lang w:val="sr-Cyrl-BA"/>
              </w:rPr>
              <w:t>)</w:t>
            </w:r>
          </w:p>
        </w:tc>
        <w:tc>
          <w:tcPr>
            <w:tcW w:w="3823" w:type="dxa"/>
            <w:gridSpan w:val="8"/>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Pr>
                <w:rFonts w:ascii="Arial Narrow" w:hAnsi="Arial Narrow"/>
                <w:b/>
                <w:sz w:val="20"/>
                <w:szCs w:val="20"/>
                <w:lang w:val="sr-Cyrl-BA"/>
              </w:rPr>
              <w:t>)</w:t>
            </w:r>
          </w:p>
        </w:tc>
        <w:tc>
          <w:tcPr>
            <w:tcW w:w="1989" w:type="dxa"/>
            <w:gridSpan w:val="2"/>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Coefficient of student workload</w:t>
            </w:r>
            <w:r>
              <w:rPr>
                <w:rFonts w:ascii="Arial Narrow" w:hAnsi="Arial Narrow"/>
                <w:b/>
                <w:sz w:val="20"/>
                <w:szCs w:val="20"/>
                <w:lang w:val="sr-Cyrl-BA"/>
              </w:rPr>
              <w:t xml:space="preserve"> </w:t>
            </w:r>
            <w:r>
              <w:rPr>
                <w:rFonts w:ascii="Arial Narrow" w:hAnsi="Arial Narrow"/>
                <w:b/>
                <w:sz w:val="20"/>
                <w:szCs w:val="20"/>
                <w:lang w:val="sr-Latn-BA"/>
              </w:rPr>
              <w:t>S</w:t>
            </w:r>
            <w:r>
              <w:rPr>
                <w:rFonts w:ascii="Arial Narrow" w:hAnsi="Arial Narrow"/>
                <w:b/>
                <w:sz w:val="20"/>
                <w:szCs w:val="20"/>
                <w:vertAlign w:val="subscript"/>
                <w:lang w:val="sr-Latn-BA"/>
              </w:rPr>
              <w:t>o</w:t>
            </w:r>
            <w:r>
              <w:rPr>
                <w:rFonts w:ascii="Arial Narrow" w:hAnsi="Arial Narrow"/>
                <w:b/>
                <w:sz w:val="20"/>
                <w:szCs w:val="20"/>
                <w:vertAlign w:val="superscript"/>
                <w:lang w:val="sr-Latn-BA"/>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shd w:val="clear" w:color="auto" w:fill="F1F1F1" w:themeFill="background1" w:themeFillShade="F2"/>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L</w:t>
            </w:r>
          </w:p>
        </w:tc>
        <w:tc>
          <w:tcPr>
            <w:tcW w:w="1276" w:type="dxa"/>
            <w:gridSpan w:val="4"/>
            <w:shd w:val="clear" w:color="auto" w:fill="F1F1F1" w:themeFill="background1" w:themeFillShade="F2"/>
            <w:vAlign w:val="center"/>
          </w:tcPr>
          <w:p>
            <w:pPr>
              <w:spacing w:after="0" w:line="240" w:lineRule="auto"/>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1F1F1" w:themeFill="background1" w:themeFillShade="F2"/>
            <w:vAlign w:val="center"/>
          </w:tcPr>
          <w:p>
            <w:pPr>
              <w:spacing w:after="0" w:line="240" w:lineRule="auto"/>
              <w:jc w:val="center"/>
              <w:rPr>
                <w:rFonts w:ascii="Arial Narrow" w:hAnsi="Arial Narrow"/>
                <w:b/>
                <w:sz w:val="20"/>
                <w:szCs w:val="20"/>
              </w:rPr>
            </w:pPr>
            <w:r>
              <w:rPr>
                <w:rFonts w:ascii="Arial Narrow" w:hAnsi="Arial Narrow"/>
                <w:b/>
                <w:sz w:val="20"/>
                <w:szCs w:val="20"/>
              </w:rPr>
              <w:t>SP</w:t>
            </w:r>
          </w:p>
        </w:tc>
        <w:tc>
          <w:tcPr>
            <w:tcW w:w="1276" w:type="dxa"/>
            <w:gridSpan w:val="3"/>
            <w:shd w:val="clear" w:color="auto" w:fill="F1F1F1" w:themeFill="background1" w:themeFillShade="F2"/>
            <w:vAlign w:val="center"/>
          </w:tcPr>
          <w:p>
            <w:pPr>
              <w:spacing w:after="0" w:line="240" w:lineRule="auto"/>
              <w:jc w:val="center"/>
              <w:rPr>
                <w:rFonts w:ascii="Arial Narrow" w:hAnsi="Arial Narrow"/>
                <w:b/>
                <w:sz w:val="20"/>
                <w:szCs w:val="20"/>
              </w:rPr>
            </w:pPr>
            <w:r>
              <w:rPr>
                <w:rFonts w:ascii="Arial Narrow" w:hAnsi="Arial Narrow"/>
                <w:b/>
                <w:sz w:val="20"/>
                <w:szCs w:val="20"/>
              </w:rPr>
              <w:t>L</w:t>
            </w:r>
          </w:p>
        </w:tc>
        <w:tc>
          <w:tcPr>
            <w:tcW w:w="1275" w:type="dxa"/>
            <w:gridSpan w:val="2"/>
            <w:shd w:val="clear" w:color="auto" w:fill="F1F1F1" w:themeFill="background1" w:themeFillShade="F2"/>
            <w:vAlign w:val="center"/>
          </w:tcPr>
          <w:p>
            <w:pPr>
              <w:spacing w:after="0" w:line="240" w:lineRule="auto"/>
              <w:jc w:val="center"/>
              <w:rPr>
                <w:rFonts w:ascii="Arial Narrow" w:hAnsi="Arial Narrow"/>
                <w:b/>
                <w:sz w:val="20"/>
                <w:szCs w:val="20"/>
              </w:rPr>
            </w:pPr>
            <w:r>
              <w:rPr>
                <w:rFonts w:ascii="Arial Narrow" w:hAnsi="Arial Narrow"/>
                <w:b/>
                <w:sz w:val="20"/>
                <w:szCs w:val="20"/>
              </w:rPr>
              <w:t>E</w:t>
            </w:r>
          </w:p>
        </w:tc>
        <w:tc>
          <w:tcPr>
            <w:tcW w:w="1272" w:type="dxa"/>
            <w:gridSpan w:val="3"/>
            <w:shd w:val="clear" w:color="auto" w:fill="F1F1F1" w:themeFill="background1" w:themeFillShade="F2"/>
            <w:vAlign w:val="center"/>
          </w:tcPr>
          <w:p>
            <w:pPr>
              <w:spacing w:after="0" w:line="240" w:lineRule="auto"/>
              <w:jc w:val="center"/>
              <w:rPr>
                <w:rFonts w:ascii="Arial Narrow" w:hAnsi="Arial Narrow"/>
                <w:b/>
                <w:sz w:val="20"/>
                <w:szCs w:val="20"/>
              </w:rPr>
            </w:pPr>
            <w:r>
              <w:rPr>
                <w:rFonts w:ascii="Arial Narrow" w:hAnsi="Arial Narrow"/>
                <w:b/>
                <w:sz w:val="20"/>
                <w:szCs w:val="20"/>
              </w:rPr>
              <w:t>SP</w:t>
            </w:r>
          </w:p>
        </w:tc>
        <w:tc>
          <w:tcPr>
            <w:tcW w:w="1989" w:type="dxa"/>
            <w:gridSpan w:val="2"/>
            <w:shd w:val="clear" w:color="auto" w:fill="F1F1F1" w:themeFill="background1" w:themeFillShade="F2"/>
            <w:vAlign w:val="center"/>
          </w:tcPr>
          <w:p>
            <w:pPr>
              <w:spacing w:after="0" w:line="240" w:lineRule="auto"/>
              <w:jc w:val="center"/>
              <w:rPr>
                <w:rFonts w:ascii="Arial Narrow" w:hAnsi="Arial Narrow" w:eastAsia="Calibri"/>
                <w:b/>
                <w:sz w:val="20"/>
                <w:szCs w:val="20"/>
                <w:lang w:val="sr-Cyrl-BA"/>
              </w:rPr>
            </w:pPr>
            <w:r>
              <w:rPr>
                <w:rFonts w:ascii="Arial Narrow" w:hAnsi="Arial Narrow" w:eastAsia="Calibri"/>
                <w:b/>
                <w:sz w:val="20"/>
                <w:szCs w:val="20"/>
                <w:lang w:val="sr-Latn-BA"/>
              </w:rPr>
              <w:t>S</w:t>
            </w:r>
            <w:r>
              <w:rPr>
                <w:rFonts w:ascii="Arial Narrow" w:hAnsi="Arial Narrow" w:eastAsia="Calibri"/>
                <w:b/>
                <w:sz w:val="20"/>
                <w:szCs w:val="20"/>
                <w:vertAlign w:val="subscript"/>
                <w:lang w:val="sr-Latn-BA"/>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2</w:t>
            </w:r>
          </w:p>
        </w:tc>
        <w:tc>
          <w:tcPr>
            <w:tcW w:w="1276" w:type="dxa"/>
            <w:gridSpan w:val="4"/>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3</w:t>
            </w:r>
          </w:p>
        </w:tc>
        <w:tc>
          <w:tcPr>
            <w:tcW w:w="1276" w:type="dxa"/>
            <w:gridSpan w:val="2"/>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0</w:t>
            </w:r>
          </w:p>
        </w:tc>
        <w:tc>
          <w:tcPr>
            <w:tcW w:w="1276" w:type="dxa"/>
            <w:gridSpan w:val="3"/>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2*15*1</w:t>
            </w:r>
          </w:p>
        </w:tc>
        <w:tc>
          <w:tcPr>
            <w:tcW w:w="1275" w:type="dxa"/>
            <w:gridSpan w:val="2"/>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3*15*1</w:t>
            </w:r>
          </w:p>
        </w:tc>
        <w:tc>
          <w:tcPr>
            <w:tcW w:w="1272" w:type="dxa"/>
            <w:gridSpan w:val="3"/>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0*15*1</w:t>
            </w:r>
          </w:p>
        </w:tc>
        <w:tc>
          <w:tcPr>
            <w:tcW w:w="1989" w:type="dxa"/>
            <w:gridSpan w:val="2"/>
            <w:shd w:val="clear" w:color="auto" w:fill="auto"/>
            <w:vAlign w:val="center"/>
          </w:tcPr>
          <w:p>
            <w:pPr>
              <w:spacing w:after="0" w:line="240" w:lineRule="auto"/>
              <w:jc w:val="center"/>
              <w:rPr>
                <w:rFonts w:ascii="Arial Narrow" w:hAnsi="Arial Narrow" w:eastAsia="Calibri"/>
                <w:sz w:val="20"/>
                <w:szCs w:val="20"/>
              </w:rPr>
            </w:pPr>
            <w:r>
              <w:rPr>
                <w:rFonts w:ascii="Arial Narrow" w:hAnsi="Arial Narrow" w:eastAsia="Calibri"/>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2</w:t>
            </w:r>
          </w:p>
        </w:tc>
        <w:tc>
          <w:tcPr>
            <w:tcW w:w="1276" w:type="dxa"/>
            <w:gridSpan w:val="4"/>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3</w:t>
            </w:r>
          </w:p>
        </w:tc>
        <w:tc>
          <w:tcPr>
            <w:tcW w:w="1276" w:type="dxa"/>
            <w:gridSpan w:val="2"/>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0</w:t>
            </w:r>
          </w:p>
        </w:tc>
        <w:tc>
          <w:tcPr>
            <w:tcW w:w="1276" w:type="dxa"/>
            <w:gridSpan w:val="3"/>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2*15*1</w:t>
            </w:r>
          </w:p>
        </w:tc>
        <w:tc>
          <w:tcPr>
            <w:tcW w:w="1275" w:type="dxa"/>
            <w:gridSpan w:val="2"/>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3*15*1</w:t>
            </w:r>
          </w:p>
        </w:tc>
        <w:tc>
          <w:tcPr>
            <w:tcW w:w="1272" w:type="dxa"/>
            <w:gridSpan w:val="3"/>
            <w:shd w:val="clear" w:color="auto" w:fill="auto"/>
            <w:vAlign w:val="center"/>
          </w:tcPr>
          <w:p>
            <w:pPr>
              <w:spacing w:after="0" w:line="240" w:lineRule="auto"/>
              <w:jc w:val="center"/>
              <w:rPr>
                <w:rFonts w:ascii="Arial Narrow" w:hAnsi="Arial Narrow" w:eastAsia="Calibri"/>
                <w:sz w:val="20"/>
                <w:szCs w:val="20"/>
                <w:lang w:val="sr-Latn-BA"/>
              </w:rPr>
            </w:pPr>
            <w:r>
              <w:rPr>
                <w:rFonts w:ascii="Arial Narrow" w:hAnsi="Arial Narrow" w:eastAsia="Calibri"/>
                <w:sz w:val="20"/>
                <w:szCs w:val="20"/>
                <w:lang w:val="sr-Latn-BA"/>
              </w:rPr>
              <w:t>0*15*1</w:t>
            </w:r>
          </w:p>
        </w:tc>
        <w:tc>
          <w:tcPr>
            <w:tcW w:w="1989" w:type="dxa"/>
            <w:gridSpan w:val="2"/>
            <w:shd w:val="clear" w:color="auto" w:fill="auto"/>
            <w:vAlign w:val="center"/>
          </w:tcPr>
          <w:p>
            <w:pPr>
              <w:spacing w:after="0" w:line="240" w:lineRule="auto"/>
              <w:jc w:val="center"/>
              <w:rPr>
                <w:rFonts w:ascii="Arial Narrow" w:hAnsi="Arial Narrow" w:eastAsia="Calibri"/>
                <w:sz w:val="20"/>
                <w:szCs w:val="20"/>
              </w:rPr>
            </w:pPr>
            <w:r>
              <w:rPr>
                <w:rFonts w:ascii="Arial Narrow" w:hAnsi="Arial Narrow" w:eastAsia="Calibri"/>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4" w:type="dxa"/>
            <w:gridSpan w:val="8"/>
            <w:tcBorders>
              <w:bottom w:val="single" w:color="auto" w:sz="4" w:space="0"/>
            </w:tcBorders>
            <w:shd w:val="clear" w:color="auto" w:fill="auto"/>
            <w:vAlign w:val="center"/>
          </w:tcPr>
          <w:p>
            <w:pPr>
              <w:spacing w:after="0" w:line="240" w:lineRule="auto"/>
              <w:rPr>
                <w:rFonts w:ascii="Arial Narrow" w:hAnsi="Arial Narrow"/>
                <w:sz w:val="20"/>
                <w:szCs w:val="20"/>
                <w:lang w:val="sr-Cyrl-BA"/>
              </w:rPr>
            </w:pPr>
            <w:r>
              <w:rPr>
                <w:rFonts w:ascii="Arial Narrow" w:hAnsi="Arial Narrow"/>
                <w:sz w:val="20"/>
                <w:szCs w:val="20"/>
              </w:rPr>
              <w:t>total teaching workload</w:t>
            </w:r>
            <w:r>
              <w:rPr>
                <w:rFonts w:ascii="Arial Narrow" w:hAnsi="Arial Narrow"/>
                <w:sz w:val="20"/>
                <w:szCs w:val="20"/>
                <w:lang w:val="sr-Cyrl-BA"/>
              </w:rPr>
              <w:t xml:space="preserve"> (</w:t>
            </w:r>
            <w:r>
              <w:rPr>
                <w:rFonts w:ascii="Arial Narrow" w:hAnsi="Arial Narrow"/>
                <w:sz w:val="20"/>
                <w:szCs w:val="20"/>
              </w:rPr>
              <w:t>in hours, per semester</w:t>
            </w:r>
            <w:r>
              <w:rPr>
                <w:rFonts w:ascii="Arial Narrow" w:hAnsi="Arial Narrow"/>
                <w:sz w:val="20"/>
                <w:szCs w:val="20"/>
                <w:lang w:val="sr-Cyrl-BA"/>
              </w:rPr>
              <w:t xml:space="preserve">)  </w:t>
            </w:r>
          </w:p>
          <w:p>
            <w:pPr>
              <w:spacing w:after="0" w:line="240" w:lineRule="auto"/>
              <w:rPr>
                <w:rFonts w:ascii="Arial Narrow" w:hAnsi="Arial Narrow" w:eastAsia="Calibri"/>
                <w:sz w:val="20"/>
                <w:szCs w:val="20"/>
                <w:lang w:val="sr-Latn-BA"/>
              </w:rPr>
            </w:pPr>
            <w:r>
              <w:rPr>
                <w:rFonts w:ascii="Arial Narrow" w:hAnsi="Arial Narrow" w:eastAsia="Calibri"/>
                <w:sz w:val="20"/>
                <w:szCs w:val="20"/>
                <w:lang w:val="sr-Latn-BA"/>
              </w:rPr>
              <w:t xml:space="preserve">                   2*15</w:t>
            </w:r>
            <w:r>
              <w:rPr>
                <w:rFonts w:ascii="Arial Narrow" w:hAnsi="Arial Narrow" w:eastAsia="Calibri"/>
                <w:sz w:val="20"/>
                <w:szCs w:val="20"/>
                <w:lang w:val="sr-Cyrl-BA"/>
              </w:rPr>
              <w:t xml:space="preserve"> + </w:t>
            </w:r>
            <w:r>
              <w:rPr>
                <w:rFonts w:ascii="Arial Narrow" w:hAnsi="Arial Narrow" w:eastAsia="Calibri"/>
                <w:sz w:val="20"/>
                <w:szCs w:val="20"/>
                <w:lang w:val="sr-Latn-BA"/>
              </w:rPr>
              <w:t>3*15</w:t>
            </w:r>
            <w:r>
              <w:rPr>
                <w:rFonts w:ascii="Arial Narrow" w:hAnsi="Arial Narrow" w:eastAsia="Calibri"/>
                <w:sz w:val="20"/>
                <w:szCs w:val="20"/>
                <w:lang w:val="sr-Cyrl-BA"/>
              </w:rPr>
              <w:t xml:space="preserve"> + </w:t>
            </w:r>
            <w:r>
              <w:rPr>
                <w:rFonts w:ascii="Arial Narrow" w:hAnsi="Arial Narrow" w:eastAsia="Calibri"/>
                <w:sz w:val="20"/>
                <w:szCs w:val="20"/>
                <w:lang w:val="sr-Latn-BA"/>
              </w:rPr>
              <w:t>0*15</w:t>
            </w:r>
            <w:r>
              <w:rPr>
                <w:rFonts w:ascii="Arial Narrow" w:hAnsi="Arial Narrow" w:eastAsia="Calibri"/>
                <w:sz w:val="20"/>
                <w:szCs w:val="20"/>
                <w:lang w:val="sr-Cyrl-BA"/>
              </w:rPr>
              <w:t xml:space="preserve">  =</w:t>
            </w:r>
            <w:r>
              <w:rPr>
                <w:rFonts w:ascii="Arial Narrow" w:hAnsi="Arial Narrow" w:eastAsia="Calibri"/>
                <w:sz w:val="20"/>
                <w:szCs w:val="20"/>
                <w:lang w:val="sr-Latn-BA"/>
              </w:rPr>
              <w:t xml:space="preserve"> 75</w:t>
            </w:r>
          </w:p>
          <w:p>
            <w:pPr>
              <w:spacing w:after="0" w:line="240" w:lineRule="auto"/>
              <w:rPr>
                <w:rFonts w:ascii="Arial Narrow" w:hAnsi="Arial Narrow" w:eastAsia="Calibri"/>
                <w:sz w:val="20"/>
                <w:szCs w:val="20"/>
                <w:lang w:val="sr-Latn-BA"/>
              </w:rPr>
            </w:pPr>
            <w:r>
              <w:rPr>
                <w:rFonts w:ascii="Arial Narrow" w:hAnsi="Arial Narrow" w:eastAsia="Calibri"/>
                <w:sz w:val="20"/>
                <w:szCs w:val="20"/>
              </w:rPr>
              <w:t xml:space="preserve">                   </w:t>
            </w:r>
            <w:r>
              <w:rPr>
                <w:rFonts w:ascii="Arial Narrow" w:hAnsi="Arial Narrow" w:eastAsia="Calibri"/>
                <w:sz w:val="20"/>
                <w:szCs w:val="20"/>
                <w:lang w:val="sr-Latn-BA"/>
              </w:rPr>
              <w:t>2*15</w:t>
            </w:r>
            <w:r>
              <w:rPr>
                <w:rFonts w:ascii="Arial Narrow" w:hAnsi="Arial Narrow" w:eastAsia="Calibri"/>
                <w:sz w:val="20"/>
                <w:szCs w:val="20"/>
                <w:lang w:val="sr-Cyrl-BA"/>
              </w:rPr>
              <w:t xml:space="preserve"> + </w:t>
            </w:r>
            <w:r>
              <w:rPr>
                <w:rFonts w:ascii="Arial Narrow" w:hAnsi="Arial Narrow" w:eastAsia="Calibri"/>
                <w:sz w:val="20"/>
                <w:szCs w:val="20"/>
                <w:lang w:val="sr-Latn-BA"/>
              </w:rPr>
              <w:t>3*15</w:t>
            </w:r>
            <w:r>
              <w:rPr>
                <w:rFonts w:ascii="Arial Narrow" w:hAnsi="Arial Narrow" w:eastAsia="Calibri"/>
                <w:sz w:val="20"/>
                <w:szCs w:val="20"/>
                <w:lang w:val="sr-Cyrl-BA"/>
              </w:rPr>
              <w:t xml:space="preserve"> + </w:t>
            </w:r>
            <w:r>
              <w:rPr>
                <w:rFonts w:ascii="Arial Narrow" w:hAnsi="Arial Narrow" w:eastAsia="Calibri"/>
                <w:sz w:val="20"/>
                <w:szCs w:val="20"/>
                <w:lang w:val="sr-Latn-BA"/>
              </w:rPr>
              <w:t>0*15</w:t>
            </w:r>
            <w:r>
              <w:rPr>
                <w:rFonts w:ascii="Arial Narrow" w:hAnsi="Arial Narrow" w:eastAsia="Calibri"/>
                <w:sz w:val="20"/>
                <w:szCs w:val="20"/>
                <w:lang w:val="sr-Cyrl-BA"/>
              </w:rPr>
              <w:t xml:space="preserve">  =</w:t>
            </w:r>
            <w:r>
              <w:rPr>
                <w:rFonts w:ascii="Arial Narrow" w:hAnsi="Arial Narrow" w:eastAsia="Calibri"/>
                <w:sz w:val="20"/>
                <w:szCs w:val="20"/>
                <w:lang w:val="sr-Latn-BA"/>
              </w:rPr>
              <w:t xml:space="preserve"> 75              </w:t>
            </w:r>
          </w:p>
        </w:tc>
        <w:tc>
          <w:tcPr>
            <w:tcW w:w="4992" w:type="dxa"/>
            <w:gridSpan w:val="9"/>
            <w:tcBorders>
              <w:bottom w:val="single" w:color="auto" w:sz="4" w:space="0"/>
            </w:tcBorders>
            <w:shd w:val="clear" w:color="auto" w:fill="auto"/>
            <w:vAlign w:val="center"/>
          </w:tcPr>
          <w:p>
            <w:pPr>
              <w:spacing w:after="0" w:line="240" w:lineRule="auto"/>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Pr>
                <w:rFonts w:ascii="Arial Narrow" w:hAnsi="Arial Narrow"/>
                <w:sz w:val="20"/>
                <w:szCs w:val="20"/>
                <w:lang w:val="sr-Cyrl-BA"/>
              </w:rPr>
              <w:t xml:space="preserve">) </w:t>
            </w:r>
          </w:p>
          <w:p>
            <w:pPr>
              <w:spacing w:after="0" w:line="240" w:lineRule="auto"/>
              <w:rPr>
                <w:rFonts w:ascii="Arial Narrow" w:hAnsi="Arial Narrow" w:eastAsia="Calibri"/>
                <w:sz w:val="20"/>
                <w:szCs w:val="20"/>
                <w:lang w:val="sr-Latn-BA"/>
              </w:rPr>
            </w:pPr>
            <w:r>
              <w:rPr>
                <w:rFonts w:ascii="Arial Narrow" w:hAnsi="Arial Narrow" w:eastAsia="Calibri"/>
                <w:sz w:val="20"/>
                <w:szCs w:val="20"/>
                <w:lang w:val="sr-Latn-BA"/>
              </w:rPr>
              <w:t xml:space="preserve">                     2*15*1+ 3*15*1</w:t>
            </w:r>
            <w:r>
              <w:rPr>
                <w:rFonts w:ascii="Arial Narrow" w:hAnsi="Arial Narrow" w:eastAsia="Calibri"/>
                <w:sz w:val="20"/>
                <w:szCs w:val="20"/>
                <w:lang w:val="sr-Cyrl-BA"/>
              </w:rPr>
              <w:t xml:space="preserve"> + </w:t>
            </w:r>
            <w:r>
              <w:rPr>
                <w:rFonts w:ascii="Arial Narrow" w:hAnsi="Arial Narrow" w:eastAsia="Calibri"/>
                <w:sz w:val="20"/>
                <w:szCs w:val="20"/>
                <w:lang w:val="sr-Latn-BA"/>
              </w:rPr>
              <w:t>0*15*1</w:t>
            </w:r>
            <w:r>
              <w:rPr>
                <w:rFonts w:ascii="Arial Narrow" w:hAnsi="Arial Narrow" w:eastAsia="Calibri"/>
                <w:sz w:val="20"/>
                <w:szCs w:val="20"/>
                <w:lang w:val="sr-Cyrl-BA"/>
              </w:rPr>
              <w:t xml:space="preserve"> = </w:t>
            </w:r>
            <w:r>
              <w:rPr>
                <w:rFonts w:ascii="Arial Narrow" w:hAnsi="Arial Narrow" w:eastAsia="Calibri"/>
                <w:sz w:val="20"/>
                <w:szCs w:val="20"/>
                <w:lang w:val="sr-Latn-BA"/>
              </w:rPr>
              <w:t>75</w:t>
            </w:r>
          </w:p>
          <w:p>
            <w:pPr>
              <w:spacing w:after="0" w:line="240" w:lineRule="auto"/>
              <w:rPr>
                <w:rFonts w:ascii="Arial Narrow" w:hAnsi="Arial Narrow" w:eastAsia="Calibri"/>
                <w:sz w:val="20"/>
                <w:szCs w:val="20"/>
                <w:lang w:val="sr-Latn-BA"/>
              </w:rPr>
            </w:pPr>
            <w:r>
              <w:rPr>
                <w:rFonts w:ascii="Arial Narrow" w:hAnsi="Arial Narrow" w:eastAsia="Calibri"/>
                <w:sz w:val="20"/>
                <w:szCs w:val="20"/>
              </w:rPr>
              <w:t xml:space="preserve">                     </w:t>
            </w:r>
            <w:r>
              <w:rPr>
                <w:rFonts w:ascii="Arial Narrow" w:hAnsi="Arial Narrow" w:eastAsia="Calibri"/>
                <w:sz w:val="20"/>
                <w:szCs w:val="20"/>
                <w:lang w:val="sr-Latn-BA"/>
              </w:rPr>
              <w:t>2*15*1+ 3*15*1</w:t>
            </w:r>
            <w:r>
              <w:rPr>
                <w:rFonts w:ascii="Arial Narrow" w:hAnsi="Arial Narrow" w:eastAsia="Calibri"/>
                <w:sz w:val="20"/>
                <w:szCs w:val="20"/>
                <w:lang w:val="sr-Cyrl-BA"/>
              </w:rPr>
              <w:t xml:space="preserve"> + </w:t>
            </w:r>
            <w:r>
              <w:rPr>
                <w:rFonts w:ascii="Arial Narrow" w:hAnsi="Arial Narrow" w:eastAsia="Calibri"/>
                <w:sz w:val="20"/>
                <w:szCs w:val="20"/>
                <w:lang w:val="sr-Latn-BA"/>
              </w:rPr>
              <w:t>0*15*1</w:t>
            </w:r>
            <w:r>
              <w:rPr>
                <w:rFonts w:ascii="Arial Narrow" w:hAnsi="Arial Narrow" w:eastAsia="Calibri"/>
                <w:sz w:val="20"/>
                <w:szCs w:val="20"/>
                <w:lang w:val="sr-Cyrl-BA"/>
              </w:rPr>
              <w:t xml:space="preserve"> = </w:t>
            </w:r>
            <w:r>
              <w:rPr>
                <w:rFonts w:ascii="Arial Narrow" w:hAnsi="Arial Narrow" w:eastAsia="Calibri"/>
                <w:sz w:val="20"/>
                <w:szCs w:val="20"/>
                <w:lang w:val="sr-Latn-BA"/>
              </w:rPr>
              <w:t xml:space="preserve">75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gridSpan w:val="17"/>
            <w:tcBorders>
              <w:bottom w:val="single" w:color="auto" w:sz="4" w:space="0"/>
            </w:tcBorders>
            <w:shd w:val="clear" w:color="auto" w:fill="auto"/>
            <w:vAlign w:val="center"/>
          </w:tcPr>
          <w:p>
            <w:pPr>
              <w:spacing w:after="0" w:line="240" w:lineRule="auto"/>
              <w:jc w:val="center"/>
              <w:rPr>
                <w:rFonts w:ascii="Arial Narrow" w:hAnsi="Arial Narrow" w:eastAsia="Calibri"/>
                <w:sz w:val="20"/>
                <w:szCs w:val="20"/>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Pr>
                <w:rFonts w:ascii="Arial Narrow" w:hAnsi="Arial Narrow"/>
                <w:sz w:val="20"/>
                <w:szCs w:val="20"/>
                <w:lang w:val="sr-Cyrl-BA"/>
              </w:rPr>
              <w:t>):</w:t>
            </w:r>
            <w:r>
              <w:rPr>
                <w:rFonts w:ascii="Arial Narrow" w:hAnsi="Arial Narrow" w:eastAsia="Calibri"/>
                <w:sz w:val="20"/>
                <w:szCs w:val="20"/>
                <w:lang w:val="sr-Latn-BA"/>
              </w:rPr>
              <w:t>150+150=300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shd w:val="clear" w:color="auto" w:fill="D8D8D8" w:themeFill="background1" w:themeFillShade="D9"/>
            <w:vAlign w:val="center"/>
          </w:tcPr>
          <w:p>
            <w:pPr>
              <w:spacing w:after="0" w:line="240" w:lineRule="auto"/>
              <w:rPr>
                <w:rFonts w:ascii="Arial Narrow" w:hAnsi="Arial Narrow" w:cs="Times New Roman"/>
                <w:b/>
                <w:sz w:val="20"/>
                <w:szCs w:val="20"/>
                <w:lang w:val="sr-Cyrl-BA"/>
              </w:rPr>
            </w:pPr>
            <w:r>
              <w:rPr>
                <w:rFonts w:ascii="Arial Narrow" w:hAnsi="Arial Narrow"/>
                <w:b/>
                <w:sz w:val="20"/>
                <w:szCs w:val="20"/>
              </w:rPr>
              <w:t>Learning outcomes</w:t>
            </w:r>
          </w:p>
        </w:tc>
        <w:tc>
          <w:tcPr>
            <w:tcW w:w="7938" w:type="dxa"/>
            <w:gridSpan w:val="15"/>
            <w:vAlign w:val="center"/>
          </w:tcPr>
          <w:p>
            <w:pPr>
              <w:spacing w:after="0" w:line="240" w:lineRule="auto"/>
              <w:rPr>
                <w:rFonts w:ascii="Arial Narrow" w:hAnsi="Arial Narrow" w:cs="Times New Roman"/>
                <w:sz w:val="20"/>
                <w:szCs w:val="20"/>
                <w:lang w:val="sr-Cyrl-BA"/>
              </w:rPr>
            </w:pPr>
            <w:r>
              <w:rPr>
                <w:rFonts w:ascii="Arial Narrow" w:hAnsi="Arial Narrow" w:cs="Times New Roman"/>
                <w:sz w:val="20"/>
                <w:szCs w:val="20"/>
                <w:lang w:val="sr-Cyrl-BA"/>
              </w:rPr>
              <w:t xml:space="preserve">Knowledge gained during the course of teaching allows the </w:t>
            </w:r>
            <w:r>
              <w:rPr>
                <w:rFonts w:ascii="Arial Narrow" w:hAnsi="Arial Narrow" w:cs="Times New Roman"/>
                <w:sz w:val="20"/>
                <w:szCs w:val="20"/>
              </w:rPr>
              <w:t>doctor of medicine</w:t>
            </w:r>
            <w:r>
              <w:rPr>
                <w:rFonts w:ascii="Arial Narrow" w:hAnsi="Arial Narrow" w:cs="Times New Roman"/>
                <w:sz w:val="20"/>
                <w:szCs w:val="20"/>
                <w:lang w:val="sr-Cyrl-BA"/>
              </w:rPr>
              <w:t xml:space="preserve"> to:</w:t>
            </w:r>
          </w:p>
          <w:p>
            <w:pPr>
              <w:spacing w:after="0" w:line="240" w:lineRule="auto"/>
              <w:rPr>
                <w:rFonts w:ascii="Arial Narrow" w:hAnsi="Arial Narrow" w:cs="Times New Roman"/>
                <w:sz w:val="20"/>
                <w:szCs w:val="20"/>
                <w:lang w:val="sr-Cyrl-BA"/>
              </w:rPr>
            </w:pPr>
            <w:r>
              <w:rPr>
                <w:rFonts w:ascii="Arial Narrow" w:hAnsi="Arial Narrow" w:cs="Times New Roman"/>
                <w:sz w:val="20"/>
                <w:szCs w:val="20"/>
                <w:lang w:val="sr-Cyrl-BA"/>
              </w:rPr>
              <w:t>1</w:t>
            </w:r>
            <w:r>
              <w:rPr>
                <w:rFonts w:ascii="Arial Narrow" w:hAnsi="Arial Narrow" w:cs="Times New Roman"/>
                <w:sz w:val="20"/>
                <w:szCs w:val="20"/>
              </w:rPr>
              <w:t>.</w:t>
            </w:r>
            <w:r>
              <w:rPr>
                <w:rFonts w:ascii="Arial Narrow" w:hAnsi="Arial Narrow" w:cs="Times New Roman"/>
                <w:sz w:val="20"/>
                <w:szCs w:val="20"/>
                <w:lang w:val="sr-Cyrl-BA"/>
              </w:rPr>
              <w:t xml:space="preserve"> recognize possible causes of infectious diseases within clinical manifestations</w:t>
            </w:r>
          </w:p>
          <w:p>
            <w:pPr>
              <w:spacing w:after="0" w:line="240" w:lineRule="auto"/>
              <w:rPr>
                <w:rFonts w:ascii="Arial Narrow" w:hAnsi="Arial Narrow" w:cs="Times New Roman"/>
                <w:sz w:val="20"/>
                <w:szCs w:val="20"/>
                <w:lang w:val="sr-Cyrl-BA"/>
              </w:rPr>
            </w:pPr>
            <w:r>
              <w:rPr>
                <w:rFonts w:ascii="Arial Narrow" w:hAnsi="Arial Narrow" w:cs="Times New Roman"/>
                <w:sz w:val="20"/>
                <w:szCs w:val="20"/>
                <w:lang w:val="sr-Cyrl-BA"/>
              </w:rPr>
              <w:t xml:space="preserve">2. </w:t>
            </w:r>
            <w:r>
              <w:rPr>
                <w:rFonts w:ascii="Arial Narrow" w:hAnsi="Arial Narrow" w:cs="Times New Roman"/>
                <w:sz w:val="20"/>
                <w:szCs w:val="20"/>
              </w:rPr>
              <w:t>d</w:t>
            </w:r>
            <w:r>
              <w:rPr>
                <w:rFonts w:ascii="Arial Narrow" w:hAnsi="Arial Narrow" w:cs="Times New Roman"/>
                <w:sz w:val="20"/>
                <w:szCs w:val="20"/>
                <w:lang w:val="sr-Cyrl-BA"/>
              </w:rPr>
              <w:t>etermine the type of patient material for diagnosing the disease</w:t>
            </w:r>
          </w:p>
          <w:p>
            <w:pPr>
              <w:spacing w:after="0" w:line="240" w:lineRule="auto"/>
              <w:rPr>
                <w:rFonts w:ascii="Arial Narrow" w:hAnsi="Arial Narrow" w:cs="Times New Roman"/>
                <w:sz w:val="20"/>
                <w:szCs w:val="20"/>
              </w:rPr>
            </w:pPr>
            <w:r>
              <w:rPr>
                <w:rFonts w:ascii="Arial Narrow" w:hAnsi="Arial Narrow" w:cs="Times New Roman"/>
                <w:sz w:val="20"/>
                <w:szCs w:val="20"/>
                <w:lang w:val="sr-Cyrl-BA"/>
              </w:rPr>
              <w:t xml:space="preserve">3. </w:t>
            </w:r>
            <w:r>
              <w:rPr>
                <w:rFonts w:ascii="Arial Narrow" w:hAnsi="Arial Narrow" w:cs="Times New Roman"/>
                <w:sz w:val="20"/>
                <w:szCs w:val="20"/>
              </w:rPr>
              <w:t>p</w:t>
            </w:r>
            <w:r>
              <w:rPr>
                <w:rFonts w:ascii="Arial Narrow" w:hAnsi="Arial Narrow" w:cs="Times New Roman"/>
                <w:sz w:val="20"/>
                <w:szCs w:val="20"/>
                <w:lang w:val="sr-Cyrl-BA"/>
              </w:rPr>
              <w:t>roperly interpret the microbiological finding</w:t>
            </w:r>
            <w:r>
              <w:rPr>
                <w:rFonts w:ascii="Arial Narrow" w:hAnsi="Arial Narrow" w:cs="Times New Roman"/>
                <w:sz w:val="20"/>
                <w:szCs w:val="20"/>
              </w:rPr>
              <w:t>s</w:t>
            </w:r>
          </w:p>
          <w:p>
            <w:pPr>
              <w:spacing w:after="0" w:line="240" w:lineRule="auto"/>
              <w:rPr>
                <w:rFonts w:ascii="Arial Narrow" w:hAnsi="Arial Narrow" w:cs="Times New Roman"/>
                <w:sz w:val="20"/>
                <w:szCs w:val="20"/>
                <w:lang w:val="sr-Cyrl-BA"/>
              </w:rPr>
            </w:pPr>
            <w:r>
              <w:rPr>
                <w:rFonts w:ascii="Arial Narrow" w:hAnsi="Arial Narrow" w:cs="Times New Roman"/>
                <w:sz w:val="20"/>
                <w:szCs w:val="20"/>
                <w:lang w:val="sr-Cyrl-BA"/>
              </w:rPr>
              <w:t xml:space="preserve">4. </w:t>
            </w:r>
            <w:r>
              <w:rPr>
                <w:rFonts w:ascii="Arial Narrow" w:hAnsi="Arial Narrow" w:cs="Times New Roman"/>
                <w:sz w:val="20"/>
                <w:szCs w:val="20"/>
              </w:rPr>
              <w:t>a</w:t>
            </w:r>
            <w:r>
              <w:rPr>
                <w:rFonts w:ascii="Arial Narrow" w:hAnsi="Arial Narrow" w:cs="Times New Roman"/>
                <w:sz w:val="20"/>
                <w:szCs w:val="20"/>
                <w:lang w:val="sr-Cyrl-BA"/>
              </w:rPr>
              <w:t>pply measures of control and prevention of infectious diseases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shd w:val="clear" w:color="auto" w:fill="D8D8D8" w:themeFill="background1" w:themeFillShade="D9"/>
            <w:vAlign w:val="center"/>
          </w:tcPr>
          <w:p>
            <w:pPr>
              <w:spacing w:after="0" w:line="240" w:lineRule="auto"/>
              <w:rPr>
                <w:rFonts w:ascii="Arial Narrow" w:hAnsi="Arial Narrow" w:cs="Times New Roman"/>
                <w:b/>
                <w:sz w:val="20"/>
                <w:szCs w:val="20"/>
                <w:lang w:val="sr-Latn-BA"/>
              </w:rPr>
            </w:pPr>
            <w:r>
              <w:rPr>
                <w:rFonts w:ascii="Arial Narrow" w:hAnsi="Arial Narrow"/>
                <w:b/>
                <w:sz w:val="20"/>
                <w:szCs w:val="20"/>
              </w:rPr>
              <w:t>Preconditions</w:t>
            </w:r>
          </w:p>
        </w:tc>
        <w:tc>
          <w:tcPr>
            <w:tcW w:w="7938" w:type="dxa"/>
            <w:gridSpan w:val="15"/>
            <w:vAlign w:val="center"/>
          </w:tcPr>
          <w:p>
            <w:pPr>
              <w:spacing w:after="0" w:line="240" w:lineRule="auto"/>
              <w:rPr>
                <w:rFonts w:ascii="Arial Narrow" w:hAnsi="Arial Narrow"/>
                <w:color w:val="FF0000"/>
                <w:sz w:val="20"/>
                <w:szCs w:val="20"/>
              </w:rPr>
            </w:pPr>
            <w:r>
              <w:rPr>
                <w:rFonts w:ascii="Arial Narrow" w:hAnsi="Arial Narrow"/>
                <w:sz w:val="20"/>
                <w:szCs w:val="20"/>
              </w:rPr>
              <w:t>Precondition for taking the exam: all year I exams passed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shd w:val="clear" w:color="auto" w:fill="D8D8D8" w:themeFill="background1" w:themeFillShade="D9"/>
            <w:vAlign w:val="center"/>
          </w:tcPr>
          <w:p>
            <w:pPr>
              <w:spacing w:after="0" w:line="240" w:lineRule="auto"/>
              <w:rPr>
                <w:rFonts w:ascii="Arial Narrow" w:hAnsi="Arial Narrow" w:cs="Times New Roman"/>
                <w:b/>
                <w:sz w:val="20"/>
                <w:szCs w:val="20"/>
                <w:lang w:val="sr-Cyrl-BA"/>
              </w:rPr>
            </w:pPr>
            <w:r>
              <w:rPr>
                <w:rFonts w:ascii="Arial Narrow" w:hAnsi="Arial Narrow"/>
                <w:b/>
                <w:sz w:val="20"/>
                <w:szCs w:val="20"/>
              </w:rPr>
              <w:t>Teaching methods</w:t>
            </w:r>
          </w:p>
        </w:tc>
        <w:tc>
          <w:tcPr>
            <w:tcW w:w="7938" w:type="dxa"/>
            <w:gridSpan w:val="15"/>
            <w:vAlign w:val="center"/>
          </w:tcPr>
          <w:p>
            <w:pPr>
              <w:spacing w:after="0" w:line="240" w:lineRule="auto"/>
              <w:rPr>
                <w:rFonts w:ascii="Arial Narrow" w:hAnsi="Arial Narrow" w:cs="Times New Roman"/>
                <w:sz w:val="20"/>
                <w:szCs w:val="20"/>
                <w:lang w:val="hr-BA"/>
              </w:rPr>
            </w:pPr>
            <w:r>
              <w:rPr>
                <w:rFonts w:ascii="Arial Narrow" w:hAnsi="Arial Narrow" w:cs="Times New Roman"/>
                <w:sz w:val="20"/>
                <w:szCs w:val="20"/>
                <w:lang w:val="hr-BA"/>
              </w:rPr>
              <w:t>lectures</w:t>
            </w:r>
            <w:r>
              <w:rPr>
                <w:rFonts w:ascii="Arial Narrow" w:hAnsi="Arial Narrow" w:cs="Times New Roman"/>
                <w:sz w:val="20"/>
                <w:szCs w:val="20"/>
                <w:lang w:val="sr-Cyrl-BA"/>
              </w:rPr>
              <w:t>,</w:t>
            </w:r>
            <w:r>
              <w:rPr>
                <w:rFonts w:ascii="Arial Narrow" w:hAnsi="Arial Narrow" w:cs="Times New Roman"/>
                <w:sz w:val="20"/>
                <w:szCs w:val="20"/>
                <w:lang w:val="hr-BA"/>
              </w:rPr>
              <w:t xml:space="preserve"> seminars</w:t>
            </w:r>
            <w:r>
              <w:rPr>
                <w:rFonts w:ascii="Arial Narrow" w:hAnsi="Arial Narrow" w:cs="Times New Roman"/>
                <w:sz w:val="20"/>
                <w:szCs w:val="20"/>
                <w:lang w:val="sr-Cyrl-BA"/>
              </w:rPr>
              <w:t>,</w:t>
            </w:r>
            <w:r>
              <w:rPr>
                <w:rFonts w:ascii="Arial Narrow" w:hAnsi="Arial Narrow" w:cs="Times New Roman"/>
                <w:sz w:val="20"/>
                <w:szCs w:val="20"/>
                <w:lang w:val="hr-BA"/>
              </w:rPr>
              <w:t xml:space="preserve"> exercises</w:t>
            </w:r>
            <w:r>
              <w:rPr>
                <w:rFonts w:ascii="Arial Narrow" w:hAnsi="Arial Narrow" w:cs="Times New Roman"/>
                <w:sz w:val="20"/>
                <w:szCs w:val="20"/>
                <w:lang w:val="sr-Cyrl-BA"/>
              </w:rPr>
              <w:t>,</w:t>
            </w:r>
            <w:r>
              <w:rPr>
                <w:rFonts w:ascii="Arial Narrow" w:hAnsi="Arial Narrow" w:cs="Times New Roman"/>
                <w:sz w:val="20"/>
                <w:szCs w:val="20"/>
                <w:lang w:val="hr-BA"/>
              </w:rPr>
              <w:t xml:space="preserve"> colloquium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tcBorders>
              <w:bottom w:val="single" w:color="auto" w:sz="4" w:space="0"/>
            </w:tcBorders>
            <w:shd w:val="clear" w:color="auto" w:fill="D8D8D8" w:themeFill="background1" w:themeFillShade="D9"/>
            <w:vAlign w:val="center"/>
          </w:tcPr>
          <w:p>
            <w:pPr>
              <w:spacing w:after="0" w:line="240" w:lineRule="auto"/>
              <w:rPr>
                <w:rFonts w:ascii="Arial Narrow" w:hAnsi="Arial Narrow" w:cs="Times New Roman"/>
                <w:b/>
                <w:sz w:val="20"/>
                <w:szCs w:val="20"/>
                <w:lang w:val="sr-Cyrl-BA"/>
              </w:rPr>
            </w:pPr>
            <w:r>
              <w:rPr>
                <w:rFonts w:ascii="Arial Narrow" w:hAnsi="Arial Narrow"/>
                <w:b/>
                <w:sz w:val="20"/>
                <w:szCs w:val="20"/>
              </w:rPr>
              <w:t>Subject content per week</w:t>
            </w:r>
          </w:p>
        </w:tc>
        <w:tc>
          <w:tcPr>
            <w:tcW w:w="7938" w:type="dxa"/>
            <w:gridSpan w:val="15"/>
            <w:tcBorders>
              <w:bottom w:val="single" w:color="auto" w:sz="4" w:space="0"/>
            </w:tcBorders>
            <w:vAlign w:val="center"/>
          </w:tcPr>
          <w:p>
            <w:pPr>
              <w:spacing w:after="0" w:line="240" w:lineRule="auto"/>
              <w:jc w:val="both"/>
              <w:rPr>
                <w:rFonts w:ascii="Arial Narrow" w:hAnsi="Arial Narrow" w:cs="Times New Roman"/>
                <w:b/>
                <w:sz w:val="20"/>
                <w:szCs w:val="20"/>
                <w:lang w:val="hr-BA"/>
              </w:rPr>
            </w:pPr>
            <w:r>
              <w:rPr>
                <w:rFonts w:ascii="Arial Narrow" w:hAnsi="Arial Narrow" w:cs="Times New Roman"/>
                <w:b/>
                <w:sz w:val="20"/>
                <w:szCs w:val="20"/>
                <w:lang w:val="hr-BA"/>
              </w:rPr>
              <w:t>Lectures:</w:t>
            </w:r>
          </w:p>
          <w:p>
            <w:pPr>
              <w:spacing w:after="0" w:line="240" w:lineRule="auto"/>
              <w:jc w:val="both"/>
              <w:rPr>
                <w:rFonts w:ascii="Arial Narrow" w:hAnsi="Arial Narrow" w:cs="Times New Roman"/>
                <w:sz w:val="20"/>
                <w:szCs w:val="20"/>
                <w:lang w:val="sr-Cyrl-BA"/>
              </w:rPr>
            </w:pPr>
            <w:r>
              <w:rPr>
                <w:rFonts w:ascii="Arial Narrow" w:hAnsi="Arial Narrow" w:cs="Times New Roman"/>
                <w:sz w:val="20"/>
                <w:szCs w:val="20"/>
                <w:lang w:val="sr-Cyrl-BA"/>
              </w:rPr>
              <w:t xml:space="preserve">1. BACTERIAL CELL </w:t>
            </w:r>
            <w:r>
              <w:rPr>
                <w:rFonts w:ascii="Arial Narrow" w:hAnsi="Arial Narrow" w:cs="Times New Roman"/>
                <w:sz w:val="20"/>
                <w:szCs w:val="20"/>
                <w:lang w:val="en-US"/>
              </w:rPr>
              <w:t xml:space="preserve">BIOLOGY </w:t>
            </w:r>
            <w:r>
              <w:rPr>
                <w:rFonts w:ascii="Arial Narrow" w:hAnsi="Arial Narrow" w:cs="Times New Roman"/>
                <w:sz w:val="20"/>
                <w:szCs w:val="20"/>
                <w:lang w:val="sr-Cyrl-BA"/>
              </w:rPr>
              <w:t>1. Forms of bacteria, structure of bacterial cells. Establishment of infection. Pathogenicity. Virulence. Mechanisms of tissue damage. Distribution of microorganisms. Normal microflora.</w:t>
            </w:r>
          </w:p>
          <w:p>
            <w:pPr>
              <w:spacing w:after="0" w:line="240" w:lineRule="auto"/>
              <w:jc w:val="both"/>
              <w:rPr>
                <w:rFonts w:ascii="Arial Narrow" w:hAnsi="Arial Narrow" w:cs="Times New Roman"/>
                <w:sz w:val="20"/>
                <w:szCs w:val="20"/>
                <w:lang w:val="en-US"/>
              </w:rPr>
            </w:pPr>
            <w:r>
              <w:rPr>
                <w:rFonts w:ascii="Arial Narrow" w:hAnsi="Arial Narrow" w:cs="Times New Roman"/>
                <w:sz w:val="20"/>
                <w:szCs w:val="20"/>
                <w:lang w:val="sr-Cyrl-BA"/>
              </w:rPr>
              <w:t xml:space="preserve">2. BACTERIAL CELL BIOLOGY 2. The structure of the cell wall </w:t>
            </w:r>
            <w:r>
              <w:rPr>
                <w:rFonts w:ascii="Arial Narrow" w:hAnsi="Arial Narrow" w:cs="Times New Roman"/>
                <w:sz w:val="20"/>
                <w:szCs w:val="20"/>
                <w:lang w:val="en-US"/>
              </w:rPr>
              <w:t>of</w:t>
            </w:r>
            <w:r>
              <w:rPr>
                <w:rFonts w:ascii="Arial Narrow" w:hAnsi="Arial Narrow" w:cs="Times New Roman"/>
                <w:sz w:val="20"/>
                <w:szCs w:val="20"/>
                <w:lang w:val="sr-Cyrl-BA"/>
              </w:rPr>
              <w:t xml:space="preserve"> G + and G- bacteria. Capsule, flagel, </w:t>
            </w:r>
            <w:r>
              <w:rPr>
                <w:rFonts w:ascii="Arial Narrow" w:hAnsi="Arial Narrow" w:cs="Times New Roman"/>
                <w:sz w:val="20"/>
                <w:szCs w:val="20"/>
                <w:lang w:val="en-US"/>
              </w:rPr>
              <w:t>pili</w:t>
            </w:r>
            <w:r>
              <w:rPr>
                <w:rFonts w:ascii="Arial Narrow" w:hAnsi="Arial Narrow" w:cs="Times New Roman"/>
                <w:sz w:val="20"/>
                <w:szCs w:val="20"/>
                <w:lang w:val="sr-Cyrl-BA"/>
              </w:rPr>
              <w:t>. Bacterial DNA.</w:t>
            </w:r>
            <w:r>
              <w:t xml:space="preserve"> </w:t>
            </w:r>
            <w:r>
              <w:rPr>
                <w:rFonts w:ascii="Arial Narrow" w:hAnsi="Arial Narrow" w:cs="Times New Roman"/>
                <w:sz w:val="20"/>
                <w:szCs w:val="20"/>
                <w:lang w:val="en-US"/>
              </w:rPr>
              <w:t>M</w:t>
            </w:r>
            <w:r>
              <w:rPr>
                <w:rFonts w:ascii="Arial Narrow" w:hAnsi="Arial Narrow" w:cs="Times New Roman"/>
                <w:sz w:val="20"/>
                <w:szCs w:val="20"/>
                <w:lang w:val="sr-Cyrl-BA"/>
              </w:rPr>
              <w:t xml:space="preserve">echanisms for exchange of gene material of bacteria . </w:t>
            </w:r>
            <w:r>
              <w:rPr>
                <w:rFonts w:ascii="Arial Narrow" w:hAnsi="Arial Narrow" w:cs="Times New Roman"/>
                <w:sz w:val="20"/>
                <w:szCs w:val="20"/>
                <w:lang w:val="en-US"/>
              </w:rPr>
              <w:t>Endospore</w:t>
            </w:r>
            <w:r>
              <w:rPr>
                <w:rFonts w:ascii="Arial Narrow" w:hAnsi="Arial Narrow" w:cs="Times New Roman"/>
                <w:sz w:val="20"/>
                <w:szCs w:val="20"/>
                <w:lang w:val="sr-Cyrl-BA"/>
              </w:rPr>
              <w:t xml:space="preserve">. Conditions for the growth and reproduction of bacteria. </w:t>
            </w:r>
            <w:r>
              <w:rPr>
                <w:rFonts w:ascii="Arial Narrow" w:hAnsi="Arial Narrow" w:cs="Times New Roman"/>
                <w:sz w:val="20"/>
                <w:szCs w:val="20"/>
                <w:lang w:val="en-US"/>
              </w:rPr>
              <w:t>The m</w:t>
            </w:r>
            <w:r>
              <w:rPr>
                <w:rFonts w:ascii="Arial Narrow" w:hAnsi="Arial Narrow" w:cs="Times New Roman"/>
                <w:sz w:val="20"/>
                <w:szCs w:val="20"/>
                <w:lang w:val="sr-Cyrl-BA"/>
              </w:rPr>
              <w:t>etabolism of bacteria.</w:t>
            </w:r>
          </w:p>
          <w:p>
            <w:p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Cyrl-BA"/>
              </w:rPr>
              <w:t>3. BACTERIAL CELL BIOLOGY 3. Tissue damage by toxins of microorganisms. Antibiotics. Antibiogram. Mechanisms of resistance of bacteria to antibiotics and chemotherapeutics.</w:t>
            </w:r>
          </w:p>
          <w:p>
            <w:p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Cyrl-BA"/>
              </w:rPr>
              <w:t>4.</w:t>
            </w:r>
            <w:r>
              <w:rPr>
                <w:rFonts w:ascii="Arial Narrow" w:hAnsi="Arial Narrow" w:cs="Times New Roman"/>
                <w:sz w:val="20"/>
                <w:szCs w:val="20"/>
                <w:lang w:val="sr-Latn-CS"/>
              </w:rPr>
              <w:t xml:space="preserve"> GRAM POSITIVE COCCI. Staphylococcus : pyogenic infections and toxin-mediated diseases</w:t>
            </w:r>
          </w:p>
          <w:p>
            <w:pPr>
              <w:spacing w:after="0" w:line="240" w:lineRule="auto"/>
              <w:jc w:val="both"/>
              <w:rPr>
                <w:rFonts w:ascii="Arial Narrow" w:hAnsi="Arial Narrow" w:cs="Times New Roman"/>
                <w:bCs/>
                <w:sz w:val="20"/>
                <w:szCs w:val="20"/>
                <w:u w:val="single"/>
                <w:lang w:val="sr-Latn-CS"/>
              </w:rPr>
            </w:pPr>
            <w:r>
              <w:rPr>
                <w:rFonts w:ascii="Arial Narrow" w:hAnsi="Arial Narrow" w:cs="Times New Roman"/>
                <w:sz w:val="20"/>
                <w:szCs w:val="20"/>
                <w:lang w:val="en-US"/>
              </w:rPr>
              <w:t>5</w:t>
            </w:r>
            <w:r>
              <w:rPr>
                <w:rFonts w:ascii="Arial Narrow" w:hAnsi="Arial Narrow" w:cs="Times New Roman"/>
                <w:sz w:val="20"/>
                <w:szCs w:val="20"/>
                <w:lang w:val="sr-Cyrl-BA"/>
              </w:rPr>
              <w:t>.</w:t>
            </w:r>
            <w:r>
              <w:rPr>
                <w:rFonts w:ascii="Arial Narrow" w:hAnsi="Arial Narrow" w:cs="Times New Roman"/>
                <w:sz w:val="20"/>
                <w:szCs w:val="20"/>
                <w:lang w:val="sr-Latn-CS"/>
              </w:rPr>
              <w:t xml:space="preserve"> GRAM POSITIVE AND GRAM NEGATIVE COCCI. Streptococcus, Enterococcus. Pneumococcus, bacterial pneumonia. Gram - negative cocci, Neisseriae.</w:t>
            </w:r>
          </w:p>
          <w:p>
            <w:p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en-US"/>
              </w:rPr>
              <w:t>6</w:t>
            </w:r>
            <w:r>
              <w:rPr>
                <w:rFonts w:ascii="Arial Narrow" w:hAnsi="Arial Narrow" w:cs="Times New Roman"/>
                <w:sz w:val="20"/>
                <w:szCs w:val="20"/>
                <w:lang w:val="sr-Cyrl-BA"/>
              </w:rPr>
              <w:t>.</w:t>
            </w:r>
            <w:r>
              <w:rPr>
                <w:rFonts w:ascii="Arial Narrow" w:hAnsi="Arial Narrow" w:cs="Times New Roman"/>
                <w:sz w:val="20"/>
                <w:szCs w:val="20"/>
                <w:lang w:val="sr-Latn-CS"/>
              </w:rPr>
              <w:t xml:space="preserve"> HEMOPHILIC AND OTHER FASTIDIOUS GRAM NEGATIVE BACILLI. Bordetella pertussisi parapertussis,</w:t>
            </w:r>
            <w:r>
              <w:t xml:space="preserve"> </w:t>
            </w:r>
            <w:r>
              <w:rPr>
                <w:rFonts w:ascii="Arial Narrow" w:hAnsi="Arial Narrow" w:cs="Times New Roman"/>
                <w:sz w:val="20"/>
                <w:szCs w:val="20"/>
                <w:lang w:val="sr-Latn-CS"/>
              </w:rPr>
              <w:t>whooping cough, Legionella, Haemophylus influenzae.</w:t>
            </w:r>
          </w:p>
          <w:p>
            <w:pPr>
              <w:spacing w:after="0" w:line="240" w:lineRule="auto"/>
              <w:jc w:val="both"/>
              <w:rPr>
                <w:rFonts w:ascii="Arial Narrow" w:hAnsi="Arial Narrow" w:cs="Times New Roman"/>
                <w:color w:val="000000"/>
                <w:sz w:val="20"/>
                <w:szCs w:val="20"/>
                <w:lang w:val="sr-Latn-CS"/>
              </w:rPr>
            </w:pPr>
            <w:r>
              <w:rPr>
                <w:rFonts w:ascii="Arial Narrow" w:hAnsi="Arial Narrow" w:cs="Times New Roman"/>
                <w:sz w:val="20"/>
                <w:szCs w:val="20"/>
                <w:lang w:val="en-US"/>
              </w:rPr>
              <w:t>7</w:t>
            </w:r>
            <w:r>
              <w:rPr>
                <w:rFonts w:ascii="Arial Narrow" w:hAnsi="Arial Narrow" w:cs="Times New Roman"/>
                <w:sz w:val="20"/>
                <w:szCs w:val="20"/>
                <w:lang w:val="sr-Cyrl-BA"/>
              </w:rPr>
              <w:t>.</w:t>
            </w:r>
            <w:r>
              <w:rPr>
                <w:rFonts w:ascii="Arial Narrow" w:hAnsi="Arial Narrow" w:cs="Times New Roman"/>
                <w:color w:val="000000"/>
                <w:sz w:val="20"/>
                <w:szCs w:val="20"/>
                <w:lang w:val="sr-Latn-CS"/>
              </w:rPr>
              <w:t xml:space="preserve"> INTESTINAL BACTERIA THAT CAUSE SECRETORY DIARRHEA. Enterobacteriaceae, Vibrionaceae</w:t>
            </w:r>
          </w:p>
          <w:p>
            <w:pPr>
              <w:spacing w:after="0" w:line="240" w:lineRule="auto"/>
              <w:jc w:val="both"/>
              <w:rPr>
                <w:rFonts w:ascii="Arial Narrow" w:hAnsi="Arial Narrow" w:cs="Times New Roman"/>
                <w:color w:val="000000"/>
                <w:sz w:val="20"/>
                <w:szCs w:val="20"/>
                <w:lang w:val="sr-Latn-CS"/>
              </w:rPr>
            </w:pPr>
            <w:r>
              <w:rPr>
                <w:rFonts w:ascii="Arial Narrow" w:hAnsi="Arial Narrow" w:cs="Times New Roman"/>
                <w:color w:val="000000"/>
                <w:sz w:val="20"/>
                <w:szCs w:val="20"/>
                <w:lang w:val="sr-Latn-CS"/>
              </w:rPr>
              <w:t>8.  INVASIVE GASTROINTESTINAL INFECTIONS. Shigella. Enterohemorrhagic E. Coli. Salmonella. Helicobacter pylori.</w:t>
            </w:r>
          </w:p>
          <w:p>
            <w:pPr>
              <w:spacing w:after="0" w:line="240" w:lineRule="auto"/>
              <w:jc w:val="both"/>
              <w:rPr>
                <w:rFonts w:ascii="Arial Narrow" w:hAnsi="Arial Narrow" w:cs="Times New Roman"/>
                <w:color w:val="000000"/>
                <w:sz w:val="20"/>
                <w:szCs w:val="20"/>
                <w:lang w:val="sr-Latn-CS"/>
              </w:rPr>
            </w:pPr>
            <w:r>
              <w:rPr>
                <w:rFonts w:ascii="Arial Narrow" w:hAnsi="Arial Narrow" w:cs="Times New Roman"/>
                <w:color w:val="000000"/>
                <w:sz w:val="20"/>
                <w:szCs w:val="20"/>
                <w:lang w:val="sr-Latn-CS"/>
              </w:rPr>
              <w:t>9. NON-INVASIVE GASTROINTESTINAL AND INTRA-ABDOMINAL INFECTIONS. Pseudomonas aeruginosa. Acinetobacter spp. Stenotrophomonas maltophilia. Bacteroides.</w:t>
            </w:r>
          </w:p>
          <w:p>
            <w:pPr>
              <w:spacing w:after="0" w:line="240" w:lineRule="auto"/>
              <w:jc w:val="both"/>
              <w:rPr>
                <w:rFonts w:ascii="Arial Narrow" w:hAnsi="Arial Narrow" w:cs="Times New Roman"/>
                <w:sz w:val="20"/>
                <w:szCs w:val="20"/>
              </w:rPr>
            </w:pPr>
            <w:r>
              <w:rPr>
                <w:rFonts w:ascii="Arial Narrow" w:hAnsi="Arial Narrow" w:cs="Times New Roman"/>
                <w:sz w:val="20"/>
                <w:szCs w:val="20"/>
                <w:lang w:val="sr-Cyrl-BA"/>
              </w:rPr>
              <w:t>10.</w:t>
            </w:r>
            <w:r>
              <w:rPr>
                <w:rFonts w:ascii="Arial Narrow" w:hAnsi="Arial Narrow" w:cs="Times New Roman"/>
                <w:sz w:val="20"/>
                <w:szCs w:val="20"/>
                <w:lang w:val="sr-Latn-CS"/>
              </w:rPr>
              <w:t xml:space="preserve"> ANAEROBIC GRAM POSITIVE BACILLI. Clostridiae : diarrhea, tissue infections, botulism and tetanus. Clostridium difficile. Clostridium perfrigens. Clostridium botulinum. Clostridium tetans.</w:t>
            </w:r>
          </w:p>
          <w:p>
            <w:pPr>
              <w:spacing w:after="0" w:line="240" w:lineRule="auto"/>
              <w:jc w:val="both"/>
              <w:rPr>
                <w:rFonts w:ascii="Arial Narrow" w:hAnsi="Arial Narrow" w:cs="Times New Roman"/>
                <w:color w:val="000000"/>
                <w:sz w:val="20"/>
                <w:szCs w:val="20"/>
              </w:rPr>
            </w:pPr>
            <w:r>
              <w:rPr>
                <w:rFonts w:ascii="Arial Narrow" w:hAnsi="Arial Narrow" w:cs="Times New Roman"/>
                <w:sz w:val="20"/>
                <w:szCs w:val="20"/>
                <w:lang w:val="sr-Cyrl-BA"/>
              </w:rPr>
              <w:t>11.</w:t>
            </w:r>
            <w:r>
              <w:rPr>
                <w:rFonts w:ascii="Arial Narrow" w:hAnsi="Arial Narrow" w:cs="Times New Roman"/>
                <w:color w:val="000000"/>
                <w:sz w:val="20"/>
                <w:szCs w:val="20"/>
                <w:lang w:val="sr-Latn-CS"/>
              </w:rPr>
              <w:t xml:space="preserve"> MYCOBACTERIA. Mycobacterium tuberculosis. Mycobacterium leprae.</w:t>
            </w:r>
          </w:p>
          <w:p>
            <w:pPr>
              <w:spacing w:after="0" w:line="240" w:lineRule="auto"/>
              <w:jc w:val="both"/>
              <w:rPr>
                <w:rFonts w:ascii="Arial Narrow" w:hAnsi="Arial Narrow" w:cs="Times New Roman"/>
                <w:color w:val="000000"/>
                <w:sz w:val="20"/>
                <w:szCs w:val="20"/>
              </w:rPr>
            </w:pPr>
            <w:r>
              <w:rPr>
                <w:rFonts w:ascii="Arial Narrow" w:hAnsi="Arial Narrow" w:cs="Times New Roman"/>
                <w:sz w:val="20"/>
                <w:szCs w:val="20"/>
                <w:lang w:val="sr-Cyrl-BA"/>
              </w:rPr>
              <w:t>12.</w:t>
            </w:r>
            <w:r>
              <w:rPr>
                <w:rFonts w:ascii="Arial Narrow" w:hAnsi="Arial Narrow" w:cs="Times New Roman"/>
                <w:sz w:val="20"/>
                <w:szCs w:val="20"/>
                <w:lang w:val="sr-Latn-CS"/>
              </w:rPr>
              <w:t xml:space="preserve"> Potential biological weapons: anthrax, plague, tularemia, botulism. Corynebacterium dyphteriae. Cat scratch disease, Bartonella henselae. </w:t>
            </w:r>
          </w:p>
          <w:p>
            <w:p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Cyrl-BA"/>
              </w:rPr>
              <w:t>13.</w:t>
            </w:r>
            <w:r>
              <w:rPr>
                <w:rFonts w:ascii="Arial Narrow" w:hAnsi="Arial Narrow" w:cs="Times New Roman"/>
                <w:color w:val="000000"/>
                <w:sz w:val="20"/>
                <w:szCs w:val="20"/>
                <w:lang w:val="sr-Latn-CS"/>
              </w:rPr>
              <w:t xml:space="preserve"> SPIRAL BACTERIA. Treponema pallidum. Borrelia burgdorferi.</w:t>
            </w:r>
          </w:p>
          <w:p>
            <w:pPr>
              <w:spacing w:after="0" w:line="240" w:lineRule="auto"/>
              <w:jc w:val="both"/>
              <w:rPr>
                <w:rFonts w:ascii="Arial Narrow" w:hAnsi="Arial Narrow" w:cs="Times New Roman"/>
                <w:bCs/>
                <w:sz w:val="20"/>
                <w:szCs w:val="20"/>
                <w:lang w:val="sr-Latn-CS"/>
              </w:rPr>
            </w:pPr>
            <w:r>
              <w:rPr>
                <w:rFonts w:ascii="Arial Narrow" w:hAnsi="Arial Narrow" w:cs="Times New Roman"/>
                <w:sz w:val="20"/>
                <w:szCs w:val="20"/>
                <w:lang w:val="sr-Cyrl-BA"/>
              </w:rPr>
              <w:t>14.</w:t>
            </w:r>
            <w:r>
              <w:rPr>
                <w:rFonts w:ascii="Arial Narrow" w:hAnsi="Arial Narrow" w:cs="Times New Roman"/>
                <w:color w:val="000000"/>
                <w:sz w:val="20"/>
                <w:szCs w:val="20"/>
                <w:lang w:val="sr-Latn-CS"/>
              </w:rPr>
              <w:t xml:space="preserve"> INTRACELLULAR BACTERIA.  Chlamydiae. Rickettsiae. Mycoplasmae.</w:t>
            </w:r>
          </w:p>
          <w:p>
            <w:pPr>
              <w:spacing w:after="0" w:line="240" w:lineRule="auto"/>
              <w:jc w:val="both"/>
              <w:rPr>
                <w:rFonts w:ascii="Arial Narrow" w:hAnsi="Arial Narrow" w:cs="Times New Roman"/>
                <w:color w:val="000000"/>
                <w:sz w:val="20"/>
                <w:szCs w:val="20"/>
                <w:lang w:val="sr-Latn-CS"/>
              </w:rPr>
            </w:pPr>
            <w:r>
              <w:rPr>
                <w:rFonts w:ascii="Arial Narrow" w:hAnsi="Arial Narrow" w:cs="Times New Roman"/>
                <w:sz w:val="20"/>
                <w:szCs w:val="20"/>
                <w:lang w:val="sr-Cyrl-BA"/>
              </w:rPr>
              <w:t>15.</w:t>
            </w:r>
            <w:r>
              <w:rPr>
                <w:rFonts w:ascii="Arial Narrow" w:hAnsi="Arial Narrow" w:cs="Times New Roman"/>
                <w:color w:val="000000"/>
                <w:sz w:val="20"/>
                <w:szCs w:val="20"/>
                <w:lang w:val="sr-Latn-CS"/>
              </w:rPr>
              <w:t xml:space="preserve"> ZOONOSES. Brucella spp. Leptospira spp.</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16. INTRODUCTION TO PARASITOLOGY. Intestinal protozoa</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17. PROTOZOA AND INSECTS. Blood and tissue protozoa. Sarcoptes scabiei, lice, fleas, mosquitoes, ticks. Antiprotozoal agents and antihelminthicagents</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18. HELMINTHS. Intestinal helminths. Blood and tissue helminths. Antihelmintics</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19. INTRODUCTION TO MYCOLOGY.</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20. ENDEMIC MYCOSIS.</w:t>
            </w:r>
          </w:p>
          <w:p>
            <w:pPr>
              <w:pStyle w:val="11"/>
              <w:spacing w:after="0" w:line="240" w:lineRule="auto"/>
              <w:ind w:left="33"/>
              <w:jc w:val="both"/>
              <w:rPr>
                <w:rFonts w:ascii="Arial Narrow" w:hAnsi="Arial Narrow" w:cs="Times New Roman"/>
                <w:sz w:val="20"/>
                <w:szCs w:val="20"/>
                <w:lang w:val="en-US"/>
              </w:rPr>
            </w:pPr>
            <w:r>
              <w:rPr>
                <w:rFonts w:ascii="Arial Narrow" w:hAnsi="Arial Narrow" w:cs="Times New Roman"/>
                <w:sz w:val="20"/>
                <w:szCs w:val="20"/>
                <w:lang w:val="en-US"/>
              </w:rPr>
              <w:t>21. Opportunistic fungal infections. Subcutaneous, cutaneous and superficial mycosis. Antifungal agents.</w:t>
            </w:r>
          </w:p>
          <w:p>
            <w:pPr>
              <w:pStyle w:val="11"/>
              <w:spacing w:after="0" w:line="240" w:lineRule="auto"/>
              <w:ind w:left="33"/>
              <w:jc w:val="both"/>
              <w:rPr>
                <w:rFonts w:ascii="Arial Narrow" w:hAnsi="Arial Narrow" w:cs="Times New Roman"/>
                <w:sz w:val="20"/>
                <w:szCs w:val="20"/>
                <w:lang w:val="en-US"/>
              </w:rPr>
            </w:pPr>
            <w:r>
              <w:rPr>
                <w:rFonts w:ascii="Arial Narrow" w:hAnsi="Arial Narrow" w:cs="Times New Roman"/>
                <w:sz w:val="20"/>
                <w:szCs w:val="20"/>
                <w:lang w:val="en-US"/>
              </w:rPr>
              <w:t>22.</w:t>
            </w:r>
            <w:r>
              <w:t xml:space="preserve"> </w:t>
            </w:r>
            <w:r>
              <w:rPr>
                <w:rFonts w:ascii="Arial Narrow" w:hAnsi="Arial Narrow" w:cs="Times New Roman"/>
                <w:sz w:val="20"/>
                <w:szCs w:val="20"/>
                <w:lang w:val="en-US"/>
              </w:rPr>
              <w:t>VIRUS BIOLOGY. The structure of the virus. Replication of the viral genome.</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23 Picornaviruses, Coronaviruses and Adenoviruses</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24.Paramyxoviruses and Orthomyxoviruses and rash fevers.</w:t>
            </w:r>
          </w:p>
          <w:p>
            <w:pPr>
              <w:pStyle w:val="11"/>
              <w:spacing w:after="0" w:line="240" w:lineRule="auto"/>
              <w:ind w:left="33"/>
              <w:jc w:val="both"/>
              <w:rPr>
                <w:rFonts w:ascii="Arial Narrow" w:hAnsi="Arial Narrow" w:cs="Times New Roman"/>
                <w:sz w:val="20"/>
                <w:szCs w:val="20"/>
              </w:rPr>
            </w:pPr>
            <w:r>
              <w:rPr>
                <w:rFonts w:ascii="Arial Narrow" w:hAnsi="Arial Narrow" w:cs="Times New Roman"/>
                <w:sz w:val="20"/>
                <w:szCs w:val="20"/>
              </w:rPr>
              <w:t>25. HERPESVIRUSES.</w:t>
            </w:r>
          </w:p>
          <w:p>
            <w:pPr>
              <w:spacing w:after="0" w:line="240" w:lineRule="auto"/>
              <w:jc w:val="both"/>
              <w:rPr>
                <w:rFonts w:ascii="Arial Narrow" w:hAnsi="Arial Narrow" w:cs="Times New Roman"/>
                <w:sz w:val="20"/>
                <w:szCs w:val="20"/>
              </w:rPr>
            </w:pPr>
            <w:r>
              <w:rPr>
                <w:rFonts w:ascii="Arial Narrow" w:hAnsi="Arial Narrow" w:cs="Times New Roman"/>
                <w:sz w:val="20"/>
                <w:szCs w:val="20"/>
              </w:rPr>
              <w:t>26. Rabies lyssavirus and Human papillomaviruses.</w:t>
            </w:r>
          </w:p>
          <w:p>
            <w:pPr>
              <w:spacing w:after="0" w:line="240" w:lineRule="auto"/>
              <w:jc w:val="both"/>
              <w:rPr>
                <w:rFonts w:ascii="Arial Narrow" w:hAnsi="Arial Narrow" w:cs="Times New Roman"/>
                <w:sz w:val="20"/>
                <w:szCs w:val="20"/>
              </w:rPr>
            </w:pPr>
            <w:r>
              <w:rPr>
                <w:rFonts w:ascii="Arial Narrow" w:hAnsi="Arial Narrow" w:cs="Times New Roman"/>
                <w:sz w:val="20"/>
                <w:szCs w:val="20"/>
              </w:rPr>
              <w:t>27. HEPATITIS VIRUSES.</w:t>
            </w:r>
          </w:p>
          <w:p>
            <w:pPr>
              <w:spacing w:after="0" w:line="240" w:lineRule="auto"/>
              <w:jc w:val="both"/>
              <w:rPr>
                <w:rFonts w:ascii="Arial Narrow" w:hAnsi="Arial Narrow" w:cs="Times New Roman"/>
                <w:sz w:val="20"/>
                <w:szCs w:val="20"/>
              </w:rPr>
            </w:pPr>
            <w:r>
              <w:rPr>
                <w:rFonts w:ascii="Arial Narrow" w:hAnsi="Arial Narrow" w:cs="Times New Roman"/>
                <w:sz w:val="20"/>
                <w:szCs w:val="20"/>
              </w:rPr>
              <w:t>28. PATHOGENIC HUMAN RETROVIRUSES, REVERSE TRANSCRIPTASE, HISTORY OF RETROVIROLOGY, PRION DISEASE</w:t>
            </w:r>
          </w:p>
          <w:p>
            <w:pPr>
              <w:spacing w:after="0" w:line="240" w:lineRule="auto"/>
              <w:jc w:val="both"/>
              <w:rPr>
                <w:rFonts w:ascii="Arial Narrow" w:hAnsi="Arial Narrow" w:cs="Times New Roman"/>
                <w:sz w:val="20"/>
                <w:szCs w:val="20"/>
              </w:rPr>
            </w:pPr>
            <w:r>
              <w:rPr>
                <w:rFonts w:ascii="Arial Narrow" w:hAnsi="Arial Narrow" w:cs="Times New Roman"/>
                <w:sz w:val="20"/>
                <w:szCs w:val="20"/>
              </w:rPr>
              <w:t>29. HIV. AIDS.</w:t>
            </w:r>
          </w:p>
          <w:p>
            <w:pPr>
              <w:spacing w:after="0" w:line="240" w:lineRule="auto"/>
              <w:jc w:val="both"/>
              <w:rPr>
                <w:rFonts w:ascii="Arial Narrow" w:hAnsi="Arial Narrow" w:cs="Times New Roman"/>
                <w:sz w:val="20"/>
                <w:szCs w:val="20"/>
              </w:rPr>
            </w:pPr>
            <w:r>
              <w:rPr>
                <w:rFonts w:ascii="Arial Narrow" w:hAnsi="Arial Narrow" w:cs="Times New Roman"/>
                <w:sz w:val="20"/>
                <w:szCs w:val="20"/>
              </w:rPr>
              <w:t>30. ARBOVIRUSES AND VIRUSES THAT CAUSE HEMORRHAGIC FEVER.</w:t>
            </w:r>
          </w:p>
          <w:p>
            <w:pPr>
              <w:spacing w:after="0" w:line="240" w:lineRule="auto"/>
              <w:jc w:val="both"/>
              <w:rPr>
                <w:rFonts w:ascii="Arial Narrow" w:hAnsi="Arial Narrow"/>
                <w:sz w:val="20"/>
                <w:szCs w:val="20"/>
                <w:lang w:val="en-US"/>
              </w:rPr>
            </w:pPr>
          </w:p>
          <w:p>
            <w:pPr>
              <w:spacing w:after="0" w:line="240" w:lineRule="auto"/>
              <w:jc w:val="both"/>
              <w:rPr>
                <w:rFonts w:ascii="Arial Narrow" w:hAnsi="Arial Narrow"/>
                <w:sz w:val="20"/>
                <w:szCs w:val="20"/>
              </w:rPr>
            </w:pPr>
          </w:p>
          <w:p>
            <w:pPr>
              <w:spacing w:after="0" w:line="240" w:lineRule="auto"/>
              <w:jc w:val="both"/>
              <w:rPr>
                <w:rFonts w:ascii="Arial Narrow" w:hAnsi="Arial Narrow" w:cs="Times New Roman"/>
                <w:b/>
                <w:sz w:val="20"/>
                <w:szCs w:val="20"/>
              </w:rPr>
            </w:pPr>
            <w:r>
              <w:rPr>
                <w:rFonts w:ascii="Arial Narrow" w:hAnsi="Arial Narrow" w:cs="Times New Roman"/>
                <w:b/>
                <w:color w:val="000000"/>
                <w:sz w:val="20"/>
                <w:szCs w:val="20"/>
                <w:lang w:val="sr-Latn-CS"/>
              </w:rPr>
              <w:t xml:space="preserve"> </w:t>
            </w:r>
            <w:r>
              <w:rPr>
                <w:rFonts w:ascii="Arial Narrow" w:hAnsi="Arial Narrow" w:cs="Times New Roman"/>
                <w:b/>
                <w:sz w:val="20"/>
                <w:szCs w:val="20"/>
              </w:rPr>
              <w:t>Exercises:</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lang w:val="sr-Latn-CS"/>
              </w:rPr>
              <w:t>Taking samples for bacteriological examination. Sending samples for bacteriological examination.</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BACTERIAL CELL BIOLOGY 1. Establishment of infection. Pathogenicity. Virulence. Mechanisms of tissue damage. Distribution of microorganisms. Normal microflora.</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BACTERIAL CELL BIOLOGY 2. Forms of bacteria, structure of bacterial cells. The structure of the cell wall of G + and G- bacteria. Capsule, flagel, pili. Bacterial DNA. Mechanisms for exchange of gene material of bacteria . Endospore.</w:t>
            </w:r>
            <w:r>
              <w:t xml:space="preserve"> </w:t>
            </w:r>
            <w:r>
              <w:rPr>
                <w:rFonts w:ascii="Arial Narrow" w:hAnsi="Arial Narrow" w:cs="Times New Roman"/>
                <w:sz w:val="20"/>
                <w:szCs w:val="20"/>
              </w:rPr>
              <w:t>Microscopic visualization of morphological and functional structures of bacterial cells.</w:t>
            </w:r>
          </w:p>
          <w:p>
            <w:pPr>
              <w:pStyle w:val="11"/>
              <w:numPr>
                <w:ilvl w:val="0"/>
                <w:numId w:val="1"/>
              </w:numPr>
              <w:spacing w:after="200" w:line="276" w:lineRule="auto"/>
              <w:jc w:val="both"/>
              <w:rPr>
                <w:rFonts w:ascii="Arial Narrow" w:hAnsi="Arial Narrow" w:cs="Times New Roman"/>
                <w:bCs/>
                <w:sz w:val="20"/>
                <w:szCs w:val="20"/>
                <w:lang w:val="sr-Latn-CS"/>
              </w:rPr>
            </w:pPr>
            <w:r>
              <w:rPr>
                <w:rFonts w:ascii="Arial Narrow" w:hAnsi="Arial Narrow" w:cs="Times New Roman"/>
                <w:sz w:val="20"/>
                <w:szCs w:val="20"/>
                <w:lang w:val="sr-Cyrl-CS"/>
              </w:rPr>
              <w:t xml:space="preserve"> BACTERIAL CELL BIOLOGY 3 Conditions for the growth and reproduction of bacteria. The metabolism of bacteria.</w:t>
            </w:r>
            <w:r>
              <w:rPr>
                <w:rFonts w:ascii="Arial Narrow" w:hAnsi="Arial Narrow" w:cs="Times New Roman"/>
                <w:sz w:val="20"/>
                <w:szCs w:val="20"/>
                <w:lang w:val="sr-Latn-CS"/>
              </w:rPr>
              <w:t xml:space="preserve"> Methods for isolating bacteria (nutrients and conditions for cultivation of bacteria in vitro; seeding of nutrients). Identification of isolated culture of bacteria (examination of microscopic, cultural, physiological and biochemical properties).</w:t>
            </w:r>
          </w:p>
          <w:p>
            <w:pPr>
              <w:pStyle w:val="11"/>
              <w:numPr>
                <w:ilvl w:val="0"/>
                <w:numId w:val="1"/>
              </w:numPr>
              <w:spacing w:after="0" w:line="240" w:lineRule="auto"/>
              <w:rPr>
                <w:rFonts w:ascii="Arial Narrow" w:hAnsi="Arial Narrow" w:cs="Times New Roman"/>
                <w:bCs/>
                <w:sz w:val="20"/>
                <w:szCs w:val="20"/>
                <w:lang w:val="sr-Latn-CS"/>
              </w:rPr>
            </w:pPr>
            <w:r>
              <w:rPr>
                <w:rFonts w:ascii="Arial Narrow" w:hAnsi="Arial Narrow" w:cs="Times New Roman"/>
                <w:bCs/>
                <w:sz w:val="20"/>
                <w:szCs w:val="20"/>
                <w:lang w:val="sr-Latn-CS"/>
              </w:rPr>
              <w:t>Tissue damage by toxins of microorganisms. Antibiotics. Methods for testing the susceptibility of bacteria to antibiotics and chemotherapeutics (preparation and guidelines for interpretation of the disk diffusion and broth dilution method of the antibiogram).</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GRAM POSITIVE AND GRAM NEGATIVE COCCI. Staphylococcus, Streptococcus, Enterococcus. Pneumococcus, bacterial pneumonia. Gram - negative cocci, Neisseriae.</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HEMOPHILIC AND OTHER FASTIDIOUS GRAM NEGATIVE BACILLI. Bordetella pertussisi parapertussis, whooping cough, Legionella, Haemophylus influenzae.</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INTESTINAL BACTERIA THAT CAUSE SECRETORY DIARRHEA. Enterobacteriaceae, Vibrionaceae</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 xml:space="preserve"> INVASIVE GASTROINTESTINAL INFECTIONS. Shigella. Enterohemorrhagic E. Coli. Salmonella. Helicobacter pylori.</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NON-INVASIVE GASTROINTESTINAL AND INTRA-ABDOMINAL INFECTIONS. Pseudomonas aeruginosa. Acinetobacter spp. Stenotrophomonas maltophilia. Bacteroides.</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 xml:space="preserve"> ANAEROBIC GRAM POSITIVE BACILLI. Clostridiae : diarrhea, tissue infections, botulism and tetanus. Clostridium difficile. Clostridium perfrigens. Clostridium botulinum. Clostridium tetans.</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 xml:space="preserve"> MYCOBACTERIA. Mycobacterium tuberculosis. Mycobacterium leprae.</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 xml:space="preserve"> Potential biological weapons: anthrax, plague, tularemia, botulism. Corynebacterium dyphteriae. Cat scratch disease, Bartonella henselae. </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 xml:space="preserve"> SPIRAL BACTERIA. Treponema pallidum. Borrelia burgdorferi. ZOONOSES. Brucella spp. Leptospira spp.</w:t>
            </w:r>
          </w:p>
          <w:p>
            <w:pPr>
              <w:pStyle w:val="11"/>
              <w:numPr>
                <w:ilvl w:val="0"/>
                <w:numId w:val="1"/>
              </w:numPr>
              <w:spacing w:after="0" w:line="240" w:lineRule="auto"/>
              <w:jc w:val="both"/>
              <w:rPr>
                <w:rFonts w:ascii="Arial Narrow" w:hAnsi="Arial Narrow" w:cs="Times New Roman"/>
                <w:sz w:val="20"/>
                <w:szCs w:val="20"/>
                <w:lang w:val="sr-Latn-CS"/>
              </w:rPr>
            </w:pPr>
            <w:r>
              <w:rPr>
                <w:rFonts w:ascii="Arial Narrow" w:hAnsi="Arial Narrow" w:cs="Times New Roman"/>
                <w:sz w:val="20"/>
                <w:szCs w:val="20"/>
                <w:lang w:val="sr-Latn-CS"/>
              </w:rPr>
              <w:t>INTRACELLULAR BACTERIA.  Chlamydiae. Rickettsiae. Mycoplasmae.</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INTRODUCTION TO PARASITOLOGY. Intestinal protozoa</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PROTOZOA AND INSECTS. Blood and tissue protozoa. Sarcoptes scabiei, lice, fleas, mosquitoes, ticks. Antiprotozoal agents and antihelminthicagents</w:t>
            </w:r>
          </w:p>
          <w:p>
            <w:pPr>
              <w:pStyle w:val="11"/>
              <w:numPr>
                <w:ilvl w:val="0"/>
                <w:numId w:val="1"/>
              </w:numPr>
              <w:spacing w:after="0" w:line="240" w:lineRule="auto"/>
              <w:rPr>
                <w:rFonts w:ascii="Arial Narrow" w:hAnsi="Arial Narrow" w:cs="Times New Roman"/>
                <w:sz w:val="20"/>
                <w:szCs w:val="20"/>
                <w:lang w:val="sr-Cyrl-CS"/>
              </w:rPr>
            </w:pPr>
            <w:r>
              <w:t xml:space="preserve"> </w:t>
            </w:r>
            <w:r>
              <w:rPr>
                <w:rFonts w:ascii="Arial Narrow" w:hAnsi="Arial Narrow" w:cs="Times New Roman"/>
                <w:sz w:val="20"/>
                <w:szCs w:val="20"/>
                <w:lang w:val="sr-Cyrl-CS"/>
              </w:rPr>
              <w:t>HELMINTHS 1. Intestinal helminths</w:t>
            </w:r>
          </w:p>
          <w:p>
            <w:pPr>
              <w:pStyle w:val="11"/>
              <w:numPr>
                <w:ilvl w:val="0"/>
                <w:numId w:val="1"/>
              </w:numPr>
              <w:spacing w:after="0" w:line="240" w:lineRule="auto"/>
              <w:rPr>
                <w:rFonts w:ascii="Arial Narrow" w:hAnsi="Arial Narrow" w:cs="Times New Roman"/>
                <w:sz w:val="20"/>
                <w:szCs w:val="20"/>
                <w:lang w:val="sr-Cyrl-CS"/>
              </w:rPr>
            </w:pPr>
            <w:r>
              <w:rPr>
                <w:rFonts w:ascii="Arial Narrow" w:hAnsi="Arial Narrow" w:cs="Times New Roman"/>
                <w:sz w:val="20"/>
                <w:szCs w:val="20"/>
                <w:lang w:val="sr-Cyrl-CS"/>
              </w:rPr>
              <w:t>HELMINTHS 2. Blood and tissue helminthes</w:t>
            </w:r>
            <w:r>
              <w:rPr>
                <w:rFonts w:ascii="Arial Narrow" w:hAnsi="Arial Narrow" w:cs="Times New Roman"/>
                <w:sz w:val="20"/>
                <w:szCs w:val="20"/>
                <w:lang w:val="en-US"/>
              </w:rPr>
              <w:t>.</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INTRODUCTION TO MYCOLOGY. ENDEMIC MYCOSIS.</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Opportunistic fungal infections. Subcutaneous , cutaneous and superficial mycosis.</w:t>
            </w:r>
          </w:p>
          <w:p>
            <w:pPr>
              <w:pStyle w:val="11"/>
              <w:numPr>
                <w:ilvl w:val="0"/>
                <w:numId w:val="1"/>
              </w:numPr>
              <w:spacing w:after="0" w:line="240" w:lineRule="auto"/>
              <w:jc w:val="both"/>
              <w:rPr>
                <w:rFonts w:ascii="Arial Narrow" w:hAnsi="Arial Narrow" w:cs="Times New Roman"/>
                <w:sz w:val="20"/>
                <w:szCs w:val="20"/>
              </w:rPr>
            </w:pPr>
            <w:r>
              <w:rPr>
                <w:rFonts w:ascii="Arial Narrow" w:hAnsi="Arial Narrow" w:cs="Times New Roman"/>
                <w:color w:val="000000"/>
                <w:sz w:val="20"/>
                <w:szCs w:val="20"/>
                <w:lang w:val="sr-Cyrl-CS"/>
              </w:rPr>
              <w:t>VIRUS</w:t>
            </w:r>
            <w:r>
              <w:rPr>
                <w:rFonts w:ascii="Arial Narrow" w:hAnsi="Arial Narrow" w:cs="Times New Roman"/>
                <w:color w:val="000000"/>
                <w:sz w:val="20"/>
                <w:szCs w:val="20"/>
                <w:lang w:val="en-US"/>
              </w:rPr>
              <w:t xml:space="preserve"> BIOLOGY .</w:t>
            </w:r>
            <w:r>
              <w:rPr>
                <w:rFonts w:ascii="Arial Narrow" w:hAnsi="Arial Narrow" w:cs="Times New Roman"/>
                <w:color w:val="000000"/>
                <w:sz w:val="20"/>
                <w:szCs w:val="20"/>
                <w:lang w:val="sr-Cyrl-CS"/>
              </w:rPr>
              <w:t>Genetics, recombination, interference.</w:t>
            </w:r>
            <w:r>
              <w:t xml:space="preserve"> </w:t>
            </w:r>
            <w:r>
              <w:rPr>
                <w:rFonts w:ascii="Arial Narrow" w:hAnsi="Arial Narrow" w:cs="Times New Roman"/>
                <w:color w:val="000000"/>
                <w:sz w:val="20"/>
                <w:szCs w:val="20"/>
                <w:lang w:val="sr-Cyrl-CS"/>
              </w:rPr>
              <w:t xml:space="preserve">Basic principles of virological diagnostics.  Taking and </w:t>
            </w:r>
            <w:r>
              <w:rPr>
                <w:rFonts w:ascii="Arial Narrow" w:hAnsi="Arial Narrow" w:cs="Times New Roman"/>
                <w:color w:val="000000"/>
                <w:sz w:val="20"/>
                <w:szCs w:val="20"/>
                <w:lang w:val="en-US"/>
              </w:rPr>
              <w:t>sending</w:t>
            </w:r>
            <w:r>
              <w:rPr>
                <w:rFonts w:ascii="Arial Narrow" w:hAnsi="Arial Narrow" w:cs="Times New Roman"/>
                <w:color w:val="000000"/>
                <w:sz w:val="20"/>
                <w:szCs w:val="20"/>
                <w:lang w:val="sr-Cyrl-CS"/>
              </w:rPr>
              <w:t xml:space="preserve"> materials for virological </w:t>
            </w:r>
            <w:r>
              <w:rPr>
                <w:rFonts w:ascii="Arial Narrow" w:hAnsi="Arial Narrow" w:cs="Times New Roman"/>
                <w:color w:val="000000"/>
                <w:sz w:val="20"/>
                <w:szCs w:val="20"/>
                <w:lang w:val="en-US"/>
              </w:rPr>
              <w:t>examination</w:t>
            </w:r>
            <w:r>
              <w:rPr>
                <w:rFonts w:ascii="Arial Narrow" w:hAnsi="Arial Narrow" w:cs="Times New Roman"/>
                <w:color w:val="000000"/>
                <w:sz w:val="20"/>
                <w:szCs w:val="20"/>
                <w:lang w:val="sr-Cyrl-CS"/>
              </w:rPr>
              <w:t>.</w:t>
            </w:r>
          </w:p>
          <w:p>
            <w:pPr>
              <w:pStyle w:val="11"/>
              <w:numPr>
                <w:ilvl w:val="0"/>
                <w:numId w:val="1"/>
              </w:numPr>
              <w:spacing w:after="0" w:line="240" w:lineRule="auto"/>
              <w:jc w:val="both"/>
              <w:rPr>
                <w:rFonts w:ascii="Arial Narrow" w:hAnsi="Arial Narrow" w:cs="Times New Roman"/>
                <w:bCs/>
                <w:color w:val="000000"/>
                <w:sz w:val="20"/>
                <w:szCs w:val="20"/>
                <w:lang w:val="sr-Latn-CS"/>
              </w:rPr>
            </w:pPr>
            <w:r>
              <w:rPr>
                <w:rFonts w:ascii="Arial Narrow" w:hAnsi="Arial Narrow" w:cs="Times New Roman"/>
                <w:bCs/>
                <w:color w:val="000000"/>
                <w:sz w:val="20"/>
                <w:szCs w:val="20"/>
                <w:lang w:val="sr-Latn-CS"/>
              </w:rPr>
              <w:t xml:space="preserve">Viral isolation techniqes in living cell systems. Evidence of the presence of the virus in cell culture, embrionated eggs and experimental aminals. </w:t>
            </w:r>
          </w:p>
          <w:p>
            <w:pPr>
              <w:pStyle w:val="11"/>
              <w:numPr>
                <w:ilvl w:val="0"/>
                <w:numId w:val="1"/>
              </w:numPr>
              <w:spacing w:after="0" w:line="240" w:lineRule="auto"/>
              <w:jc w:val="both"/>
              <w:rPr>
                <w:rFonts w:ascii="Arial Narrow" w:hAnsi="Arial Narrow" w:cs="Times New Roman"/>
                <w:bCs/>
                <w:color w:val="000000"/>
                <w:sz w:val="20"/>
                <w:szCs w:val="20"/>
                <w:lang w:val="sr-Latn-CS"/>
              </w:rPr>
            </w:pPr>
            <w:r>
              <w:rPr>
                <w:rFonts w:ascii="Arial Narrow" w:hAnsi="Arial Narrow" w:cs="Times New Roman"/>
                <w:bCs/>
                <w:color w:val="000000"/>
                <w:sz w:val="20"/>
                <w:szCs w:val="20"/>
                <w:lang w:val="sr-Latn-CS"/>
              </w:rPr>
              <w:t>Virus identification techniques: EM, proving viral antigens and the viral genome. Serology diagnostics of viral infections:. Possibilities of serology diagnostic.types of serology reactions</w:t>
            </w:r>
          </w:p>
          <w:p>
            <w:pPr>
              <w:pStyle w:val="11"/>
              <w:numPr>
                <w:ilvl w:val="0"/>
                <w:numId w:val="1"/>
              </w:numPr>
              <w:spacing w:after="0" w:line="240" w:lineRule="auto"/>
              <w:jc w:val="both"/>
              <w:rPr>
                <w:rFonts w:ascii="Arial Narrow" w:hAnsi="Arial Narrow"/>
                <w:sz w:val="20"/>
                <w:szCs w:val="20"/>
              </w:rPr>
            </w:pPr>
            <w:r>
              <w:rPr>
                <w:rFonts w:ascii="Arial Narrow" w:hAnsi="Arial Narrow"/>
                <w:sz w:val="20"/>
                <w:szCs w:val="20"/>
              </w:rPr>
              <w:t>PICORNAVIRUS, CORONAVIRUS AND ADENOVIRUS</w:t>
            </w:r>
          </w:p>
          <w:p>
            <w:pPr>
              <w:pStyle w:val="11"/>
              <w:numPr>
                <w:ilvl w:val="0"/>
                <w:numId w:val="1"/>
              </w:numPr>
              <w:spacing w:after="0" w:line="240" w:lineRule="auto"/>
              <w:jc w:val="both"/>
              <w:rPr>
                <w:rFonts w:ascii="Arial Narrow" w:hAnsi="Arial Narrow"/>
                <w:sz w:val="20"/>
                <w:szCs w:val="20"/>
              </w:rPr>
            </w:pPr>
            <w:r>
              <w:rPr>
                <w:rFonts w:ascii="Arial Narrow" w:hAnsi="Arial Narrow"/>
                <w:sz w:val="20"/>
                <w:szCs w:val="20"/>
              </w:rPr>
              <w:t>PARAMYXOVIRUSES AND ORTHOMYXOVIRUSES AND RASH FEVERS.</w:t>
            </w:r>
          </w:p>
          <w:p>
            <w:pPr>
              <w:pStyle w:val="11"/>
              <w:numPr>
                <w:ilvl w:val="0"/>
                <w:numId w:val="1"/>
              </w:numPr>
              <w:spacing w:after="0" w:line="240" w:lineRule="auto"/>
              <w:rPr>
                <w:rFonts w:ascii="Arial Narrow" w:hAnsi="Arial Narrow"/>
                <w:sz w:val="20"/>
                <w:szCs w:val="20"/>
              </w:rPr>
            </w:pPr>
            <w:r>
              <w:rPr>
                <w:rFonts w:ascii="Arial Narrow" w:hAnsi="Arial Narrow"/>
                <w:sz w:val="20"/>
                <w:szCs w:val="20"/>
              </w:rPr>
              <w:t>HERPESVIRUSES.</w:t>
            </w:r>
            <w:r>
              <w:t xml:space="preserve"> </w:t>
            </w:r>
            <w:r>
              <w:rPr>
                <w:rFonts w:ascii="Arial Narrow" w:hAnsi="Arial Narrow"/>
                <w:sz w:val="20"/>
                <w:szCs w:val="20"/>
              </w:rPr>
              <w:t>PAPILLOMAVIRUSES.</w:t>
            </w:r>
          </w:p>
          <w:p>
            <w:pPr>
              <w:pStyle w:val="11"/>
              <w:numPr>
                <w:ilvl w:val="0"/>
                <w:numId w:val="1"/>
              </w:numPr>
              <w:spacing w:after="0" w:line="240" w:lineRule="auto"/>
              <w:jc w:val="both"/>
              <w:rPr>
                <w:rFonts w:ascii="Arial Narrow" w:hAnsi="Arial Narrow"/>
                <w:sz w:val="20"/>
                <w:szCs w:val="20"/>
              </w:rPr>
            </w:pPr>
            <w:r>
              <w:rPr>
                <w:rFonts w:ascii="Arial Narrow" w:hAnsi="Arial Narrow"/>
                <w:sz w:val="20"/>
                <w:szCs w:val="20"/>
              </w:rPr>
              <w:t>HEPATITIS VIRUSES.</w:t>
            </w:r>
          </w:p>
          <w:p>
            <w:pPr>
              <w:pStyle w:val="11"/>
              <w:numPr>
                <w:ilvl w:val="0"/>
                <w:numId w:val="1"/>
              </w:numPr>
              <w:spacing w:after="0" w:line="240" w:lineRule="auto"/>
              <w:jc w:val="both"/>
              <w:rPr>
                <w:rFonts w:ascii="Arial Narrow" w:hAnsi="Arial Narrow" w:cs="Times New Roman"/>
                <w:sz w:val="20"/>
                <w:szCs w:val="20"/>
              </w:rPr>
            </w:pPr>
            <w:r>
              <w:rPr>
                <w:rFonts w:ascii="Arial Narrow" w:hAnsi="Arial Narrow"/>
                <w:sz w:val="20"/>
                <w:szCs w:val="20"/>
              </w:rPr>
              <w:t>RABIES LYSSA VIRUS, ARBOVIRUSES AND VIRUSES THAT CAUSE HEMORRHAGIC FEVER.</w:t>
            </w:r>
          </w:p>
          <w:p>
            <w:pPr>
              <w:pStyle w:val="11"/>
              <w:numPr>
                <w:ilvl w:val="0"/>
                <w:numId w:val="1"/>
              </w:numPr>
              <w:spacing w:after="0" w:line="240" w:lineRule="auto"/>
              <w:rPr>
                <w:rFonts w:ascii="Arial Narrow" w:hAnsi="Arial Narrow" w:cs="Times New Roman"/>
                <w:sz w:val="20"/>
                <w:szCs w:val="20"/>
              </w:rPr>
            </w:pPr>
            <w:r>
              <w:rPr>
                <w:rFonts w:ascii="Arial Narrow" w:hAnsi="Arial Narrow" w:cs="Times New Roman"/>
                <w:sz w:val="20"/>
                <w:szCs w:val="20"/>
              </w:rPr>
              <w:t>HIV. AIDS. PRION DISEASE.</w:t>
            </w:r>
          </w:p>
          <w:p>
            <w:pPr>
              <w:pStyle w:val="11"/>
              <w:spacing w:after="0" w:line="240" w:lineRule="auto"/>
              <w:jc w:val="both"/>
              <w:rPr>
                <w:rFonts w:ascii="Arial Narrow" w:hAnsi="Arial Narrow"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gridSpan w:val="17"/>
            <w:tcBorders>
              <w:bottom w:val="single" w:color="auto" w:sz="4" w:space="0"/>
            </w:tcBorders>
            <w:shd w:val="clear" w:color="auto" w:fill="D8D8D8" w:themeFill="background1" w:themeFillShade="D9"/>
            <w:vAlign w:val="center"/>
          </w:tcPr>
          <w:p>
            <w:pPr>
              <w:spacing w:after="0" w:line="240" w:lineRule="auto"/>
              <w:jc w:val="center"/>
              <w:rPr>
                <w:rFonts w:ascii="Arial Narrow" w:hAnsi="Arial Narrow" w:cs="Times New Roman"/>
                <w:b/>
                <w:sz w:val="20"/>
                <w:szCs w:val="20"/>
                <w:lang w:val="sr-Cyrl-BA"/>
              </w:rPr>
            </w:pPr>
            <w:r>
              <w:rPr>
                <w:rFonts w:ascii="Arial Narrow" w:hAnsi="Arial Narrow"/>
                <w:b/>
                <w:sz w:val="20"/>
                <w:szCs w:val="20"/>
              </w:rPr>
              <w:t>Compulsory literature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2" w:type="dxa"/>
            <w:gridSpan w:val="4"/>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Author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Publication title</w:t>
            </w:r>
            <w:r>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Pr>
                <w:rFonts w:ascii="Arial Narrow" w:hAnsi="Arial Narrow"/>
                <w:b/>
                <w:sz w:val="20"/>
                <w:szCs w:val="20"/>
                <w:lang w:val="sr-Cyrl-B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2" w:type="dxa"/>
            <w:gridSpan w:val="4"/>
            <w:shd w:val="clear" w:color="auto" w:fill="auto"/>
            <w:vAlign w:val="center"/>
          </w:tcPr>
          <w:p>
            <w:pPr>
              <w:spacing w:after="0" w:line="240" w:lineRule="auto"/>
              <w:rPr>
                <w:rFonts w:ascii="Times New Roman" w:hAnsi="Times New Roman" w:cs="Times New Roman"/>
                <w:sz w:val="20"/>
                <w:szCs w:val="20"/>
                <w:lang w:val="hr-BA"/>
              </w:rPr>
            </w:pPr>
            <w:r>
              <w:rPr>
                <w:rFonts w:ascii="Times New Roman" w:hAnsi="Times New Roman" w:eastAsia="Times New Roman" w:cs="Times New Roman"/>
                <w:color w:val="222222"/>
                <w:sz w:val="20"/>
                <w:szCs w:val="20"/>
              </w:rPr>
              <w:t>N.Cary Engleberg:</w:t>
            </w:r>
          </w:p>
        </w:tc>
        <w:tc>
          <w:tcPr>
            <w:tcW w:w="4255" w:type="dxa"/>
            <w:gridSpan w:val="9"/>
            <w:shd w:val="clear" w:color="auto" w:fill="auto"/>
            <w:vAlign w:val="center"/>
          </w:tcPr>
          <w:p>
            <w:pPr>
              <w:shd w:val="clear" w:color="auto" w:fill="FFFFFF"/>
              <w:spacing w:after="0" w:line="240" w:lineRule="auto"/>
              <w:rPr>
                <w:rFonts w:ascii="Times New Roman" w:hAnsi="Times New Roman" w:cs="Times New Roman"/>
                <w:sz w:val="20"/>
                <w:szCs w:val="20"/>
                <w:lang w:val="hr-BA"/>
              </w:rPr>
            </w:pPr>
            <w:r>
              <w:rPr>
                <w:rFonts w:ascii="Times New Roman" w:hAnsi="Times New Roman" w:eastAsia="Times New Roman" w:cs="Times New Roman"/>
                <w:color w:val="222222"/>
                <w:sz w:val="20"/>
                <w:szCs w:val="20"/>
              </w:rPr>
              <w:t xml:space="preserve">Schaechter's Mechanisms of Microbial Disease.Walters Kluwer, </w:t>
            </w:r>
          </w:p>
        </w:tc>
        <w:tc>
          <w:tcPr>
            <w:tcW w:w="850" w:type="dxa"/>
            <w:gridSpan w:val="2"/>
            <w:shd w:val="clear" w:color="auto" w:fill="auto"/>
            <w:vAlign w:val="center"/>
          </w:tcPr>
          <w:p>
            <w:pPr>
              <w:shd w:val="clear" w:color="auto" w:fill="FFFFFF"/>
              <w:spacing w:after="0" w:line="240" w:lineRule="auto"/>
              <w:rPr>
                <w:rFonts w:ascii="Times New Roman" w:hAnsi="Times New Roman" w:eastAsia="Times New Roman" w:cs="Times New Roman"/>
                <w:color w:val="222222"/>
                <w:sz w:val="20"/>
                <w:szCs w:val="20"/>
              </w:rPr>
            </w:pPr>
            <w:r>
              <w:rPr>
                <w:rFonts w:ascii="Times New Roman" w:hAnsi="Times New Roman" w:eastAsia="Times New Roman" w:cs="Times New Roman"/>
                <w:color w:val="222222"/>
                <w:sz w:val="20"/>
                <w:szCs w:val="20"/>
              </w:rPr>
              <w:t>2012</w:t>
            </w:r>
          </w:p>
          <w:p>
            <w:pPr>
              <w:spacing w:after="0" w:line="240" w:lineRule="auto"/>
              <w:rPr>
                <w:rFonts w:ascii="Times New Roman" w:hAnsi="Times New Roman" w:cs="Times New Roman"/>
                <w:sz w:val="20"/>
                <w:szCs w:val="20"/>
                <w:lang w:val="en-GB"/>
              </w:rPr>
            </w:pPr>
          </w:p>
        </w:tc>
        <w:tc>
          <w:tcPr>
            <w:tcW w:w="1989" w:type="dxa"/>
            <w:gridSpan w:val="2"/>
            <w:shd w:val="clear" w:color="auto" w:fill="auto"/>
            <w:vAlign w:val="center"/>
          </w:tcPr>
          <w:p>
            <w:pPr>
              <w:spacing w:after="0" w:line="240" w:lineRule="auto"/>
              <w:rPr>
                <w:rFonts w:ascii="Arial Narrow" w:hAnsi="Arial Narrow" w:cs="Times New Roman"/>
                <w:sz w:val="20"/>
                <w:szCs w:val="20"/>
                <w:lang w:val="sr-Cyrl-B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2" w:type="dxa"/>
            <w:gridSpan w:val="4"/>
            <w:tcBorders>
              <w:bottom w:val="single" w:color="auto" w:sz="4" w:space="0"/>
            </w:tcBorders>
            <w:shd w:val="clear" w:color="auto" w:fill="auto"/>
            <w:vAlign w:val="center"/>
          </w:tcPr>
          <w:p>
            <w:pPr>
              <w:spacing w:after="0" w:line="240" w:lineRule="auto"/>
              <w:rPr>
                <w:rFonts w:ascii="Times New Roman" w:hAnsi="Times New Roman" w:cs="Times New Roman"/>
                <w:sz w:val="20"/>
                <w:szCs w:val="20"/>
                <w:lang w:val="hr-BA"/>
              </w:rPr>
            </w:pPr>
            <w:r>
              <w:rPr>
                <w:rFonts w:ascii="Times New Roman" w:hAnsi="Times New Roman" w:eastAsia="Times New Roman" w:cs="Times New Roman"/>
                <w:color w:val="222222"/>
                <w:sz w:val="20"/>
                <w:szCs w:val="20"/>
              </w:rPr>
              <w:t>Abul K.Abbas,Andrew H.Lichtman,Shiv Pillai</w:t>
            </w:r>
          </w:p>
        </w:tc>
        <w:tc>
          <w:tcPr>
            <w:tcW w:w="4255" w:type="dxa"/>
            <w:gridSpan w:val="9"/>
            <w:tcBorders>
              <w:bottom w:val="single" w:color="auto" w:sz="4" w:space="0"/>
            </w:tcBorders>
            <w:shd w:val="clear" w:color="auto" w:fill="auto"/>
            <w:vAlign w:val="center"/>
          </w:tcPr>
          <w:p>
            <w:pPr>
              <w:shd w:val="clear" w:color="auto" w:fill="FFFFFF"/>
              <w:spacing w:after="0" w:line="240" w:lineRule="auto"/>
              <w:rPr>
                <w:rFonts w:ascii="Times New Roman" w:hAnsi="Times New Roman" w:eastAsia="Times New Roman" w:cs="Times New Roman"/>
                <w:color w:val="222222"/>
                <w:sz w:val="20"/>
                <w:szCs w:val="20"/>
              </w:rPr>
            </w:pPr>
            <w:r>
              <w:rPr>
                <w:rFonts w:ascii="Times New Roman" w:hAnsi="Times New Roman" w:eastAsia="Times New Roman" w:cs="Times New Roman"/>
                <w:color w:val="222222"/>
                <w:sz w:val="20"/>
                <w:szCs w:val="20"/>
              </w:rPr>
              <w:t xml:space="preserve">Basic Immunology.Elsevier, </w:t>
            </w:r>
          </w:p>
          <w:p>
            <w:pPr>
              <w:spacing w:after="0" w:line="240" w:lineRule="auto"/>
              <w:rPr>
                <w:rFonts w:ascii="Times New Roman" w:hAnsi="Times New Roman" w:cs="Times New Roman"/>
                <w:sz w:val="20"/>
                <w:szCs w:val="20"/>
                <w:lang w:val="hr-BA"/>
              </w:rPr>
            </w:pPr>
          </w:p>
        </w:tc>
        <w:tc>
          <w:tcPr>
            <w:tcW w:w="850" w:type="dxa"/>
            <w:gridSpan w:val="2"/>
            <w:tcBorders>
              <w:bottom w:val="single" w:color="auto" w:sz="4" w:space="0"/>
            </w:tcBorders>
            <w:shd w:val="clear" w:color="auto" w:fill="auto"/>
            <w:vAlign w:val="center"/>
          </w:tcPr>
          <w:p>
            <w:pPr>
              <w:spacing w:after="0" w:line="240" w:lineRule="auto"/>
              <w:rPr>
                <w:rFonts w:ascii="Times New Roman" w:hAnsi="Times New Roman" w:cs="Times New Roman"/>
                <w:sz w:val="20"/>
                <w:szCs w:val="20"/>
                <w:lang w:val="en-GB"/>
              </w:rPr>
            </w:pPr>
            <w:r>
              <w:rPr>
                <w:rFonts w:ascii="Times New Roman" w:hAnsi="Times New Roman" w:eastAsia="Times New Roman" w:cs="Times New Roman"/>
                <w:color w:val="222222"/>
                <w:sz w:val="20"/>
                <w:szCs w:val="20"/>
              </w:rPr>
              <w:t>2019</w:t>
            </w:r>
          </w:p>
        </w:tc>
        <w:tc>
          <w:tcPr>
            <w:tcW w:w="1989" w:type="dxa"/>
            <w:gridSpan w:val="2"/>
            <w:tcBorders>
              <w:bottom w:val="single" w:color="auto" w:sz="4" w:space="0"/>
            </w:tcBorders>
            <w:shd w:val="clear" w:color="auto" w:fill="auto"/>
            <w:vAlign w:val="center"/>
          </w:tcPr>
          <w:p>
            <w:pPr>
              <w:spacing w:after="0" w:line="240" w:lineRule="auto"/>
              <w:rPr>
                <w:rFonts w:ascii="Arial Narrow" w:hAnsi="Arial Narrow" w:cs="Times New Roman"/>
                <w:sz w:val="20"/>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gridSpan w:val="17"/>
            <w:shd w:val="clear" w:color="auto" w:fill="D8D8D8" w:themeFill="background1" w:themeFillShade="D9"/>
            <w:vAlign w:val="center"/>
          </w:tcPr>
          <w:p>
            <w:pPr>
              <w:spacing w:after="0" w:line="240" w:lineRule="auto"/>
              <w:jc w:val="center"/>
              <w:rPr>
                <w:rFonts w:ascii="Arial Narrow" w:hAnsi="Arial Narrow" w:cs="Times New Roman"/>
                <w:b/>
                <w:sz w:val="20"/>
                <w:szCs w:val="20"/>
                <w:lang w:val="sr-Cyrl-BA"/>
              </w:rPr>
            </w:pPr>
            <w:r>
              <w:rPr>
                <w:rFonts w:ascii="Arial Narrow" w:hAnsi="Arial Narrow"/>
                <w:b/>
                <w:sz w:val="20"/>
                <w:szCs w:val="20"/>
              </w:rPr>
              <w:t>Additional literature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2" w:type="dxa"/>
            <w:gridSpan w:val="4"/>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Author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Publication title</w:t>
            </w:r>
            <w:r>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Pr>
                <w:rFonts w:ascii="Arial Narrow" w:hAnsi="Arial Narrow"/>
                <w:b/>
                <w:sz w:val="20"/>
                <w:szCs w:val="20"/>
                <w:lang w:val="sr-Cyrl-B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1668" w:type="dxa"/>
            <w:gridSpan w:val="2"/>
            <w:vMerge w:val="restart"/>
            <w:shd w:val="clear" w:color="auto" w:fill="D8D8D8" w:themeFill="background1" w:themeFillShade="D9"/>
            <w:vAlign w:val="center"/>
          </w:tcPr>
          <w:p>
            <w:pPr>
              <w:spacing w:after="0" w:line="240" w:lineRule="auto"/>
              <w:rPr>
                <w:rFonts w:ascii="Arial Narrow" w:hAnsi="Arial Narrow"/>
                <w:b/>
                <w:sz w:val="20"/>
                <w:szCs w:val="20"/>
              </w:rPr>
            </w:pPr>
          </w:p>
          <w:p>
            <w:pPr>
              <w:spacing w:after="0" w:line="240" w:lineRule="auto"/>
              <w:rPr>
                <w:rFonts w:ascii="Arial Narrow" w:hAnsi="Arial Narrow" w:cs="Times New Roman"/>
                <w:b/>
                <w:sz w:val="20"/>
                <w:szCs w:val="20"/>
                <w:lang w:val="sr-Cyrl-BA"/>
              </w:rPr>
            </w:pPr>
            <w:r>
              <w:rPr>
                <w:rFonts w:ascii="Arial Narrow" w:hAnsi="Arial Narrow"/>
                <w:b/>
                <w:sz w:val="20"/>
                <w:szCs w:val="20"/>
              </w:rPr>
              <w:t>Student responsibilities</w:t>
            </w:r>
            <w:r>
              <w:rPr>
                <w:rFonts w:ascii="Arial Narrow" w:hAnsi="Arial Narrow"/>
                <w:b/>
                <w:sz w:val="20"/>
                <w:szCs w:val="20"/>
                <w:lang w:val="sr-Cyrl-BA"/>
              </w:rPr>
              <w:t xml:space="preserve">, </w:t>
            </w:r>
            <w:r>
              <w:rPr>
                <w:rFonts w:ascii="Arial Narrow" w:hAnsi="Arial Narrow"/>
                <w:b/>
                <w:sz w:val="20"/>
                <w:szCs w:val="20"/>
              </w:rPr>
              <w:t>types of student assessment and grading</w:t>
            </w:r>
          </w:p>
        </w:tc>
        <w:tc>
          <w:tcPr>
            <w:tcW w:w="5652" w:type="dxa"/>
            <w:gridSpan w:val="12"/>
            <w:shd w:val="clear" w:color="auto" w:fill="D8D8D8" w:themeFill="background1" w:themeFillShade="D9"/>
            <w:vAlign w:val="center"/>
          </w:tcPr>
          <w:p>
            <w:pPr>
              <w:spacing w:after="0" w:line="240" w:lineRule="auto"/>
              <w:jc w:val="center"/>
              <w:rPr>
                <w:rFonts w:ascii="Arial Narrow" w:hAnsi="Arial Narrow"/>
                <w:b/>
                <w:sz w:val="20"/>
                <w:szCs w:val="20"/>
                <w:lang w:val="sr-Cyrl-BA"/>
              </w:rPr>
            </w:pPr>
            <w:r>
              <w:rPr>
                <w:rFonts w:ascii="Arial Narrow" w:hAnsi="Arial Narrow"/>
                <w:b/>
                <w:sz w:val="20"/>
                <w:szCs w:val="20"/>
              </w:rPr>
              <w:t>Grading policy</w:t>
            </w:r>
          </w:p>
        </w:tc>
        <w:tc>
          <w:tcPr>
            <w:tcW w:w="992" w:type="dxa"/>
            <w:gridSpan w:val="2"/>
            <w:shd w:val="clear" w:color="auto" w:fill="D8D8D8" w:themeFill="background1" w:themeFillShade="D9"/>
            <w:vAlign w:val="center"/>
          </w:tcPr>
          <w:p>
            <w:pPr>
              <w:spacing w:after="0" w:line="240" w:lineRule="auto"/>
              <w:rPr>
                <w:rFonts w:ascii="Arial Narrow" w:hAnsi="Arial Narrow"/>
                <w:b/>
                <w:sz w:val="20"/>
                <w:szCs w:val="20"/>
              </w:rPr>
            </w:pPr>
            <w:r>
              <w:rPr>
                <w:rFonts w:ascii="Arial Narrow" w:hAnsi="Arial Narrow"/>
                <w:b/>
                <w:sz w:val="20"/>
                <w:szCs w:val="20"/>
              </w:rPr>
              <w:t>Points</w:t>
            </w:r>
          </w:p>
        </w:tc>
        <w:tc>
          <w:tcPr>
            <w:tcW w:w="1294" w:type="dxa"/>
            <w:shd w:val="clear" w:color="auto" w:fill="D8D8D8" w:themeFill="background1" w:themeFillShade="D9"/>
            <w:vAlign w:val="center"/>
          </w:tcPr>
          <w:p>
            <w:pPr>
              <w:spacing w:after="0" w:line="240" w:lineRule="auto"/>
              <w:rPr>
                <w:rFonts w:ascii="Arial Narrow" w:hAnsi="Arial Narrow"/>
                <w:b/>
                <w:sz w:val="20"/>
                <w:szCs w:val="20"/>
                <w:lang w:val="sr-Cyrl-BA"/>
              </w:rPr>
            </w:pPr>
            <w:r>
              <w:rPr>
                <w:rFonts w:ascii="Arial Narrow" w:hAnsi="Arial Narrow"/>
                <w:b/>
                <w:sz w:val="20"/>
                <w:szCs w:val="20"/>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7938" w:type="dxa"/>
            <w:gridSpan w:val="15"/>
            <w:vAlign w:val="center"/>
          </w:tcPr>
          <w:p>
            <w:pPr>
              <w:spacing w:after="0" w:line="240" w:lineRule="auto"/>
              <w:rPr>
                <w:rFonts w:ascii="Arial Narrow" w:hAnsi="Arial Narrow" w:cs="Times New Roman"/>
                <w:sz w:val="20"/>
                <w:szCs w:val="20"/>
                <w:lang w:val="sr-Cyrl-BA"/>
              </w:rPr>
            </w:pPr>
            <w:r>
              <w:rPr>
                <w:rFonts w:ascii="Arial Narrow" w:hAnsi="Arial Narrow"/>
                <w:sz w:val="20"/>
                <w:szCs w:val="20"/>
              </w:rPr>
              <w:t>Pre-exam activities</w:t>
            </w:r>
            <w:r>
              <w:rPr>
                <w:rFonts w:ascii="Arial Narrow" w:hAnsi="Arial Narrow"/>
                <w:sz w:val="20"/>
                <w:szCs w:val="20"/>
                <w:lang w:val="sr-Cyrl-B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5652" w:type="dxa"/>
            <w:gridSpan w:val="12"/>
            <w:vAlign w:val="center"/>
          </w:tcPr>
          <w:p>
            <w:pPr>
              <w:spacing w:after="0" w:line="240" w:lineRule="auto"/>
              <w:jc w:val="right"/>
              <w:rPr>
                <w:rFonts w:ascii="Arial Narrow" w:hAnsi="Arial Narrow" w:cs="Times New Roman"/>
                <w:sz w:val="20"/>
                <w:szCs w:val="20"/>
                <w:lang w:val="sr-Cyrl-BA"/>
              </w:rPr>
            </w:pPr>
            <w:r>
              <w:rPr>
                <w:rFonts w:ascii="Arial Narrow" w:hAnsi="Arial Narrow"/>
                <w:sz w:val="20"/>
                <w:szCs w:val="20"/>
              </w:rPr>
              <w:t>lecture</w:t>
            </w:r>
            <w:r>
              <w:rPr>
                <w:rFonts w:ascii="Arial Narrow" w:hAnsi="Arial Narrow"/>
                <w:sz w:val="20"/>
                <w:szCs w:val="20"/>
                <w:lang w:val="sr-Cyrl-BA"/>
              </w:rPr>
              <w:t>/</w:t>
            </w:r>
            <w:r>
              <w:rPr>
                <w:rFonts w:ascii="Arial Narrow" w:hAnsi="Arial Narrow"/>
                <w:sz w:val="20"/>
                <w:szCs w:val="20"/>
              </w:rPr>
              <w:t>exercise attendance</w:t>
            </w:r>
          </w:p>
        </w:tc>
        <w:tc>
          <w:tcPr>
            <w:tcW w:w="992" w:type="dxa"/>
            <w:gridSpan w:val="2"/>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10</w:t>
            </w:r>
          </w:p>
        </w:tc>
        <w:tc>
          <w:tcPr>
            <w:tcW w:w="1294" w:type="dxa"/>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5652" w:type="dxa"/>
            <w:gridSpan w:val="12"/>
            <w:vAlign w:val="center"/>
          </w:tcPr>
          <w:p>
            <w:pPr>
              <w:spacing w:after="0" w:line="240" w:lineRule="auto"/>
              <w:jc w:val="right"/>
              <w:rPr>
                <w:rFonts w:ascii="Arial Narrow" w:hAnsi="Arial Narrow" w:cs="Times New Roman"/>
                <w:sz w:val="20"/>
                <w:szCs w:val="20"/>
              </w:rPr>
            </w:pPr>
          </w:p>
        </w:tc>
        <w:tc>
          <w:tcPr>
            <w:tcW w:w="992" w:type="dxa"/>
            <w:gridSpan w:val="2"/>
            <w:vAlign w:val="center"/>
          </w:tcPr>
          <w:p>
            <w:pPr>
              <w:spacing w:after="0" w:line="240" w:lineRule="auto"/>
              <w:jc w:val="center"/>
              <w:rPr>
                <w:rFonts w:ascii="Arial Narrow" w:hAnsi="Arial Narrow" w:cs="Times New Roman"/>
                <w:sz w:val="20"/>
                <w:szCs w:val="20"/>
              </w:rPr>
            </w:pPr>
          </w:p>
        </w:tc>
        <w:tc>
          <w:tcPr>
            <w:tcW w:w="1294" w:type="dxa"/>
            <w:vAlign w:val="center"/>
          </w:tcPr>
          <w:p>
            <w:pPr>
              <w:spacing w:after="0" w:line="240" w:lineRule="auto"/>
              <w:jc w:val="center"/>
              <w:rPr>
                <w:rFonts w:ascii="Arial Narrow" w:hAnsi="Arial Narrow"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5652" w:type="dxa"/>
            <w:gridSpan w:val="12"/>
            <w:vAlign w:val="center"/>
          </w:tcPr>
          <w:p>
            <w:pPr>
              <w:spacing w:after="0" w:line="240" w:lineRule="auto"/>
              <w:jc w:val="right"/>
              <w:rPr>
                <w:rFonts w:ascii="Arial Narrow" w:hAnsi="Arial Narrow" w:cs="Times New Roman"/>
                <w:sz w:val="20"/>
                <w:szCs w:val="20"/>
                <w:lang w:val="hr-BA"/>
              </w:rPr>
            </w:pPr>
            <w:r>
              <w:rPr>
                <w:rFonts w:ascii="Arial Narrow" w:hAnsi="Arial Narrow" w:cs="Times New Roman"/>
                <w:sz w:val="20"/>
                <w:szCs w:val="20"/>
                <w:lang w:val="hr-BA"/>
              </w:rPr>
              <w:t>colloquiums</w:t>
            </w:r>
          </w:p>
        </w:tc>
        <w:tc>
          <w:tcPr>
            <w:tcW w:w="992" w:type="dxa"/>
            <w:gridSpan w:val="2"/>
            <w:vAlign w:val="center"/>
          </w:tcPr>
          <w:p>
            <w:pPr>
              <w:spacing w:after="0" w:line="240" w:lineRule="auto"/>
              <w:jc w:val="center"/>
              <w:rPr>
                <w:rFonts w:ascii="Arial Narrow" w:hAnsi="Arial Narrow" w:cs="Times New Roman"/>
                <w:sz w:val="20"/>
                <w:szCs w:val="20"/>
                <w:lang w:val="en-GB"/>
              </w:rPr>
            </w:pPr>
            <w:r>
              <w:rPr>
                <w:rFonts w:ascii="Arial Narrow" w:hAnsi="Arial Narrow" w:cs="Times New Roman"/>
                <w:sz w:val="20"/>
                <w:szCs w:val="20"/>
                <w:lang w:val="en-US"/>
              </w:rPr>
              <w:t>4</w:t>
            </w:r>
            <w:r>
              <w:rPr>
                <w:rFonts w:ascii="Arial Narrow" w:hAnsi="Arial Narrow" w:cs="Times New Roman"/>
                <w:sz w:val="20"/>
                <w:szCs w:val="20"/>
                <w:lang w:val="en-GB"/>
              </w:rPr>
              <w:t>0</w:t>
            </w:r>
          </w:p>
        </w:tc>
        <w:tc>
          <w:tcPr>
            <w:tcW w:w="1294" w:type="dxa"/>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lang w:val="en-US"/>
              </w:rPr>
              <w:t>4</w:t>
            </w:r>
            <w:r>
              <w:rPr>
                <w:rFonts w:ascii="Arial Narrow" w:hAnsi="Arial Narrow" w:cs="Times New Roman"/>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7938" w:type="dxa"/>
            <w:gridSpan w:val="15"/>
            <w:vAlign w:val="center"/>
          </w:tcPr>
          <w:p>
            <w:pPr>
              <w:spacing w:after="0" w:line="240" w:lineRule="auto"/>
              <w:rPr>
                <w:rFonts w:ascii="Arial Narrow" w:hAnsi="Arial Narrow" w:cs="Times New Roman"/>
                <w:sz w:val="20"/>
                <w:szCs w:val="20"/>
                <w:lang w:val="sr-Cyrl-BA"/>
              </w:rPr>
            </w:pPr>
            <w:r>
              <w:rPr>
                <w:rFonts w:ascii="Arial Narrow" w:hAnsi="Arial Narrow"/>
                <w:sz w:val="20"/>
                <w:szCs w:val="20"/>
              </w:rPr>
              <w:t>Final exam</w:t>
            </w:r>
            <w:r>
              <w:rPr>
                <w:rFonts w:ascii="Arial Narrow" w:hAnsi="Arial Narrow"/>
                <w:sz w:val="20"/>
                <w:szCs w:val="20"/>
                <w:lang w:val="sr-Cyrl-B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5652" w:type="dxa"/>
            <w:gridSpan w:val="12"/>
            <w:vAlign w:val="center"/>
          </w:tcPr>
          <w:p>
            <w:pPr>
              <w:spacing w:after="0" w:line="240" w:lineRule="auto"/>
              <w:jc w:val="right"/>
              <w:rPr>
                <w:rFonts w:ascii="Arial Narrow" w:hAnsi="Arial Narrow" w:cs="Times New Roman"/>
                <w:sz w:val="20"/>
                <w:szCs w:val="20"/>
              </w:rPr>
            </w:pPr>
            <w:r>
              <w:rPr>
                <w:rFonts w:ascii="Arial Narrow" w:hAnsi="Arial Narrow" w:cs="Times New Roman"/>
                <w:sz w:val="20"/>
                <w:szCs w:val="20"/>
              </w:rPr>
              <w:t>test</w:t>
            </w:r>
          </w:p>
        </w:tc>
        <w:tc>
          <w:tcPr>
            <w:tcW w:w="992" w:type="dxa"/>
            <w:gridSpan w:val="2"/>
            <w:vAlign w:val="center"/>
          </w:tcPr>
          <w:p>
            <w:pPr>
              <w:spacing w:after="0" w:line="240" w:lineRule="auto"/>
              <w:jc w:val="center"/>
              <w:rPr>
                <w:rFonts w:ascii="Arial Narrow" w:hAnsi="Arial Narrow" w:cs="Times New Roman"/>
                <w:sz w:val="20"/>
                <w:szCs w:val="20"/>
                <w:lang w:val="en-GB"/>
              </w:rPr>
            </w:pPr>
            <w:r>
              <w:rPr>
                <w:rFonts w:ascii="Arial Narrow" w:hAnsi="Arial Narrow" w:cs="Times New Roman"/>
                <w:sz w:val="20"/>
                <w:szCs w:val="20"/>
                <w:lang w:val="en-GB"/>
              </w:rPr>
              <w:t>50</w:t>
            </w:r>
          </w:p>
        </w:tc>
        <w:tc>
          <w:tcPr>
            <w:tcW w:w="1294" w:type="dxa"/>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vMerge w:val="continue"/>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5652" w:type="dxa"/>
            <w:gridSpan w:val="12"/>
            <w:vAlign w:val="center"/>
          </w:tcPr>
          <w:p>
            <w:pPr>
              <w:spacing w:after="0" w:line="240" w:lineRule="auto"/>
              <w:jc w:val="right"/>
              <w:rPr>
                <w:rFonts w:ascii="Arial Narrow" w:hAnsi="Arial Narrow" w:cs="Times New Roman"/>
                <w:sz w:val="20"/>
                <w:szCs w:val="20"/>
              </w:rPr>
            </w:pPr>
          </w:p>
        </w:tc>
        <w:tc>
          <w:tcPr>
            <w:tcW w:w="992" w:type="dxa"/>
            <w:gridSpan w:val="2"/>
            <w:vAlign w:val="center"/>
          </w:tcPr>
          <w:p>
            <w:pPr>
              <w:spacing w:after="0" w:line="240" w:lineRule="auto"/>
              <w:jc w:val="center"/>
              <w:rPr>
                <w:rFonts w:ascii="Arial Narrow" w:hAnsi="Arial Narrow" w:cs="Times New Roman"/>
                <w:sz w:val="20"/>
                <w:szCs w:val="20"/>
              </w:rPr>
            </w:pPr>
          </w:p>
        </w:tc>
        <w:tc>
          <w:tcPr>
            <w:tcW w:w="1294" w:type="dxa"/>
            <w:vAlign w:val="center"/>
          </w:tcPr>
          <w:p>
            <w:pPr>
              <w:spacing w:after="0" w:line="240" w:lineRule="auto"/>
              <w:jc w:val="center"/>
              <w:rPr>
                <w:rFonts w:ascii="Arial Narrow" w:hAnsi="Arial Narrow"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1668" w:type="dxa"/>
            <w:gridSpan w:val="2"/>
            <w:tcBorders>
              <w:bottom w:val="single" w:color="auto" w:sz="4" w:space="0"/>
            </w:tcBorders>
            <w:shd w:val="clear" w:color="auto" w:fill="D8D8D8" w:themeFill="background1" w:themeFillShade="D9"/>
            <w:vAlign w:val="center"/>
          </w:tcPr>
          <w:p>
            <w:pPr>
              <w:spacing w:after="0" w:line="240" w:lineRule="auto"/>
              <w:rPr>
                <w:rFonts w:ascii="Arial Narrow" w:hAnsi="Arial Narrow" w:cs="Times New Roman"/>
                <w:sz w:val="20"/>
                <w:szCs w:val="20"/>
                <w:lang w:val="sr-Cyrl-BA"/>
              </w:rPr>
            </w:pPr>
          </w:p>
        </w:tc>
        <w:tc>
          <w:tcPr>
            <w:tcW w:w="5652" w:type="dxa"/>
            <w:gridSpan w:val="12"/>
            <w:tcBorders>
              <w:bottom w:val="single" w:color="auto" w:sz="4" w:space="0"/>
            </w:tcBorders>
            <w:vAlign w:val="center"/>
          </w:tcPr>
          <w:p>
            <w:pPr>
              <w:spacing w:after="0" w:line="240" w:lineRule="auto"/>
              <w:rPr>
                <w:rFonts w:ascii="Arial Narrow" w:hAnsi="Arial Narrow" w:cs="Times New Roman"/>
                <w:sz w:val="20"/>
                <w:szCs w:val="20"/>
              </w:rPr>
            </w:pPr>
            <w:r>
              <w:rPr>
                <w:rFonts w:ascii="Arial Narrow" w:hAnsi="Arial Narrow"/>
                <w:sz w:val="20"/>
                <w:szCs w:val="20"/>
              </w:rPr>
              <w:t>TOTAL</w:t>
            </w:r>
          </w:p>
        </w:tc>
        <w:tc>
          <w:tcPr>
            <w:tcW w:w="992" w:type="dxa"/>
            <w:gridSpan w:val="2"/>
            <w:tcBorders>
              <w:bottom w:val="single" w:color="auto" w:sz="4" w:space="0"/>
            </w:tcBorders>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100</w:t>
            </w:r>
          </w:p>
        </w:tc>
        <w:tc>
          <w:tcPr>
            <w:tcW w:w="1294" w:type="dxa"/>
            <w:tcBorders>
              <w:bottom w:val="single" w:color="auto" w:sz="4" w:space="0"/>
            </w:tcBorders>
            <w:vAlign w:val="center"/>
          </w:tcPr>
          <w:p>
            <w:pPr>
              <w:spacing w:after="0" w:line="240" w:lineRule="auto"/>
              <w:jc w:val="center"/>
              <w:rPr>
                <w:rFonts w:ascii="Arial Narrow" w:hAnsi="Arial Narrow" w:cs="Times New Roman"/>
                <w:sz w:val="20"/>
                <w:szCs w:val="20"/>
              </w:rPr>
            </w:pPr>
            <w:r>
              <w:rPr>
                <w:rFonts w:ascii="Arial Narrow" w:hAnsi="Arial Narrow" w:cs="Times New Roman"/>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68" w:type="dxa"/>
            <w:gridSpan w:val="2"/>
            <w:shd w:val="clear" w:color="auto" w:fill="D8D8D8" w:themeFill="background1" w:themeFillShade="D9"/>
            <w:vAlign w:val="center"/>
          </w:tcPr>
          <w:p>
            <w:pPr>
              <w:spacing w:after="0" w:line="240" w:lineRule="auto"/>
              <w:rPr>
                <w:rFonts w:ascii="Arial Narrow" w:hAnsi="Arial Narrow" w:cs="Times New Roman"/>
                <w:b/>
                <w:sz w:val="20"/>
                <w:szCs w:val="20"/>
                <w:lang w:val="sr-Cyrl-BA"/>
              </w:rPr>
            </w:pPr>
            <w:r>
              <w:rPr>
                <w:rFonts w:ascii="Arial Narrow" w:hAnsi="Arial Narrow"/>
                <w:b/>
                <w:sz w:val="20"/>
                <w:szCs w:val="20"/>
              </w:rPr>
              <w:t>Certification date</w:t>
            </w:r>
          </w:p>
        </w:tc>
        <w:tc>
          <w:tcPr>
            <w:tcW w:w="7938" w:type="dxa"/>
            <w:gridSpan w:val="15"/>
            <w:vAlign w:val="center"/>
          </w:tcPr>
          <w:p>
            <w:pPr>
              <w:spacing w:after="0" w:line="240" w:lineRule="auto"/>
              <w:rPr>
                <w:rFonts w:ascii="Arial Narrow" w:hAnsi="Arial Narrow" w:cs="Times New Roman"/>
                <w:sz w:val="20"/>
                <w:szCs w:val="20"/>
              </w:rPr>
            </w:pPr>
            <w:r>
              <w:rPr>
                <w:rFonts w:ascii="Arial Narrow" w:hAnsi="Arial Narrow" w:cs="Times New Roman"/>
                <w:sz w:val="20"/>
                <w:szCs w:val="20"/>
              </w:rPr>
              <w:t>2023</w:t>
            </w:r>
          </w:p>
        </w:tc>
      </w:tr>
    </w:tbl>
    <w:p>
      <w:pPr>
        <w:rPr>
          <w:rFonts w:ascii="Arial Narrow" w:hAnsi="Arial Narrow" w:cs="Times New Roman"/>
          <w:sz w:val="18"/>
          <w:szCs w:val="20"/>
          <w:lang w:val="sr-Cyrl-BA"/>
        </w:rPr>
      </w:pPr>
    </w:p>
    <w:sectPr>
      <w:footerReference r:id="rId5" w:type="default"/>
      <w:pgSz w:w="11906" w:h="16838"/>
      <w:pgMar w:top="851" w:right="567" w:bottom="851"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pPr>
        <w:pStyle w:val="8"/>
        <w:rPr>
          <w:rFonts w:ascii="Arial Narrow" w:hAnsi="Arial Narrow"/>
          <w:sz w:val="16"/>
          <w:szCs w:val="16"/>
        </w:rPr>
      </w:pPr>
      <w:r>
        <w:rPr>
          <w:rStyle w:val="7"/>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pPr>
        <w:pStyle w:val="8"/>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pPr>
        <w:pStyle w:val="8"/>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pPr>
        <w:pStyle w:val="8"/>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9E6F3A"/>
    <w:multiLevelType w:val="multilevel"/>
    <w:tmpl w:val="459E6F3A"/>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ocumentProtection w:enforcement="0"/>
  <w:defaultTabStop w:val="708"/>
  <w:hyphenationZone w:val="425"/>
  <w:characterSpacingControl w:val="doNotCompress"/>
  <w:footnotePr>
    <w:footnote w:id="2"/>
    <w:footnote w:id="3"/>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2CF"/>
    <w:rsid w:val="000008CA"/>
    <w:rsid w:val="00005E54"/>
    <w:rsid w:val="000202B8"/>
    <w:rsid w:val="00022AEF"/>
    <w:rsid w:val="000362F8"/>
    <w:rsid w:val="00045978"/>
    <w:rsid w:val="00060A17"/>
    <w:rsid w:val="0006532A"/>
    <w:rsid w:val="00073BE8"/>
    <w:rsid w:val="00076E46"/>
    <w:rsid w:val="00086BB4"/>
    <w:rsid w:val="000A225C"/>
    <w:rsid w:val="000C20EE"/>
    <w:rsid w:val="000C4C55"/>
    <w:rsid w:val="000C62B8"/>
    <w:rsid w:val="000C64AE"/>
    <w:rsid w:val="000E6CA4"/>
    <w:rsid w:val="000E7BBA"/>
    <w:rsid w:val="000F52F1"/>
    <w:rsid w:val="001179EC"/>
    <w:rsid w:val="00124B8D"/>
    <w:rsid w:val="001423A9"/>
    <w:rsid w:val="00142472"/>
    <w:rsid w:val="00172B4B"/>
    <w:rsid w:val="00191E6E"/>
    <w:rsid w:val="001944F6"/>
    <w:rsid w:val="001B6A8D"/>
    <w:rsid w:val="001C3964"/>
    <w:rsid w:val="001E27BB"/>
    <w:rsid w:val="00200585"/>
    <w:rsid w:val="00227523"/>
    <w:rsid w:val="00231DD3"/>
    <w:rsid w:val="00232169"/>
    <w:rsid w:val="0027324A"/>
    <w:rsid w:val="002833F0"/>
    <w:rsid w:val="00285627"/>
    <w:rsid w:val="00292C13"/>
    <w:rsid w:val="002B0879"/>
    <w:rsid w:val="002B51C7"/>
    <w:rsid w:val="002E2044"/>
    <w:rsid w:val="002F0DD2"/>
    <w:rsid w:val="002F12D5"/>
    <w:rsid w:val="003027F4"/>
    <w:rsid w:val="00322925"/>
    <w:rsid w:val="00326943"/>
    <w:rsid w:val="00331EC8"/>
    <w:rsid w:val="00355B14"/>
    <w:rsid w:val="0037103D"/>
    <w:rsid w:val="00372EAF"/>
    <w:rsid w:val="003848E7"/>
    <w:rsid w:val="003849B9"/>
    <w:rsid w:val="003A52B9"/>
    <w:rsid w:val="003A57CD"/>
    <w:rsid w:val="003A795A"/>
    <w:rsid w:val="003B1A86"/>
    <w:rsid w:val="003B5A99"/>
    <w:rsid w:val="003B5F85"/>
    <w:rsid w:val="003C1CE8"/>
    <w:rsid w:val="003D2002"/>
    <w:rsid w:val="003E6F04"/>
    <w:rsid w:val="004104CA"/>
    <w:rsid w:val="00421F85"/>
    <w:rsid w:val="0043206D"/>
    <w:rsid w:val="00446201"/>
    <w:rsid w:val="004601FF"/>
    <w:rsid w:val="00470D96"/>
    <w:rsid w:val="00471B53"/>
    <w:rsid w:val="00471CB8"/>
    <w:rsid w:val="0049785E"/>
    <w:rsid w:val="004B6F3F"/>
    <w:rsid w:val="004C7A27"/>
    <w:rsid w:val="004E7D4C"/>
    <w:rsid w:val="004F06EE"/>
    <w:rsid w:val="00504929"/>
    <w:rsid w:val="00516918"/>
    <w:rsid w:val="0054424C"/>
    <w:rsid w:val="00545329"/>
    <w:rsid w:val="00550AD9"/>
    <w:rsid w:val="00551589"/>
    <w:rsid w:val="0055348D"/>
    <w:rsid w:val="00564658"/>
    <w:rsid w:val="00581BDB"/>
    <w:rsid w:val="00585F89"/>
    <w:rsid w:val="00592CFD"/>
    <w:rsid w:val="005A4ED1"/>
    <w:rsid w:val="005B5014"/>
    <w:rsid w:val="005D12CB"/>
    <w:rsid w:val="005D78B4"/>
    <w:rsid w:val="005F0A7D"/>
    <w:rsid w:val="006127B9"/>
    <w:rsid w:val="00620598"/>
    <w:rsid w:val="00621E22"/>
    <w:rsid w:val="00655A6D"/>
    <w:rsid w:val="00656ABE"/>
    <w:rsid w:val="00662C2A"/>
    <w:rsid w:val="00666AF7"/>
    <w:rsid w:val="00685F12"/>
    <w:rsid w:val="00686EE2"/>
    <w:rsid w:val="00696562"/>
    <w:rsid w:val="006A2DC6"/>
    <w:rsid w:val="006B43DB"/>
    <w:rsid w:val="006B6648"/>
    <w:rsid w:val="006B7691"/>
    <w:rsid w:val="006F0D88"/>
    <w:rsid w:val="006F71E4"/>
    <w:rsid w:val="00707181"/>
    <w:rsid w:val="00720EA3"/>
    <w:rsid w:val="00727088"/>
    <w:rsid w:val="00741E90"/>
    <w:rsid w:val="007422DB"/>
    <w:rsid w:val="0074678C"/>
    <w:rsid w:val="00764916"/>
    <w:rsid w:val="0076533D"/>
    <w:rsid w:val="0077184C"/>
    <w:rsid w:val="007A2FD2"/>
    <w:rsid w:val="007A7335"/>
    <w:rsid w:val="007B2A0A"/>
    <w:rsid w:val="007B6AF8"/>
    <w:rsid w:val="007D1B4E"/>
    <w:rsid w:val="007D4D9B"/>
    <w:rsid w:val="007F795C"/>
    <w:rsid w:val="008027E3"/>
    <w:rsid w:val="00817290"/>
    <w:rsid w:val="008250E2"/>
    <w:rsid w:val="00827FCB"/>
    <w:rsid w:val="00834BB9"/>
    <w:rsid w:val="00844112"/>
    <w:rsid w:val="0084623E"/>
    <w:rsid w:val="0086381A"/>
    <w:rsid w:val="008A1C31"/>
    <w:rsid w:val="008A5AAE"/>
    <w:rsid w:val="008D5263"/>
    <w:rsid w:val="008D67A9"/>
    <w:rsid w:val="008E6A00"/>
    <w:rsid w:val="008E6F9C"/>
    <w:rsid w:val="008F54FF"/>
    <w:rsid w:val="0090147A"/>
    <w:rsid w:val="00910228"/>
    <w:rsid w:val="00912F9A"/>
    <w:rsid w:val="00953D0B"/>
    <w:rsid w:val="00964A76"/>
    <w:rsid w:val="009A27CA"/>
    <w:rsid w:val="009A5CB7"/>
    <w:rsid w:val="009C12A9"/>
    <w:rsid w:val="009C6099"/>
    <w:rsid w:val="009E1C3E"/>
    <w:rsid w:val="009E32CA"/>
    <w:rsid w:val="00A05E6A"/>
    <w:rsid w:val="00A15AC3"/>
    <w:rsid w:val="00A1789F"/>
    <w:rsid w:val="00A20731"/>
    <w:rsid w:val="00A255BB"/>
    <w:rsid w:val="00A27FF5"/>
    <w:rsid w:val="00A352C4"/>
    <w:rsid w:val="00A455B3"/>
    <w:rsid w:val="00A45AB1"/>
    <w:rsid w:val="00A64763"/>
    <w:rsid w:val="00A6669B"/>
    <w:rsid w:val="00A66CCF"/>
    <w:rsid w:val="00A8544E"/>
    <w:rsid w:val="00A96387"/>
    <w:rsid w:val="00AA6068"/>
    <w:rsid w:val="00AC1498"/>
    <w:rsid w:val="00AD665B"/>
    <w:rsid w:val="00AD6782"/>
    <w:rsid w:val="00AE5F44"/>
    <w:rsid w:val="00AF6F4F"/>
    <w:rsid w:val="00B1157B"/>
    <w:rsid w:val="00B1197B"/>
    <w:rsid w:val="00B276F1"/>
    <w:rsid w:val="00B27FCB"/>
    <w:rsid w:val="00B32562"/>
    <w:rsid w:val="00B36B65"/>
    <w:rsid w:val="00B41027"/>
    <w:rsid w:val="00B732CF"/>
    <w:rsid w:val="00B73D94"/>
    <w:rsid w:val="00B82AF4"/>
    <w:rsid w:val="00B91E28"/>
    <w:rsid w:val="00B93FA8"/>
    <w:rsid w:val="00B94753"/>
    <w:rsid w:val="00BA6226"/>
    <w:rsid w:val="00BB3616"/>
    <w:rsid w:val="00BC0488"/>
    <w:rsid w:val="00BC1075"/>
    <w:rsid w:val="00BD0352"/>
    <w:rsid w:val="00BF3374"/>
    <w:rsid w:val="00BF5294"/>
    <w:rsid w:val="00C03F29"/>
    <w:rsid w:val="00C33731"/>
    <w:rsid w:val="00C36E2B"/>
    <w:rsid w:val="00C508DF"/>
    <w:rsid w:val="00C62166"/>
    <w:rsid w:val="00C85CCF"/>
    <w:rsid w:val="00C93003"/>
    <w:rsid w:val="00CA3840"/>
    <w:rsid w:val="00CB3299"/>
    <w:rsid w:val="00CB47B5"/>
    <w:rsid w:val="00CB4C32"/>
    <w:rsid w:val="00CB7036"/>
    <w:rsid w:val="00CC6752"/>
    <w:rsid w:val="00CC7446"/>
    <w:rsid w:val="00CD1242"/>
    <w:rsid w:val="00CE4C53"/>
    <w:rsid w:val="00CF24B0"/>
    <w:rsid w:val="00D0398D"/>
    <w:rsid w:val="00D04E51"/>
    <w:rsid w:val="00D17415"/>
    <w:rsid w:val="00D22529"/>
    <w:rsid w:val="00D37C9E"/>
    <w:rsid w:val="00D4285C"/>
    <w:rsid w:val="00D730A7"/>
    <w:rsid w:val="00D75CCC"/>
    <w:rsid w:val="00D761A3"/>
    <w:rsid w:val="00D86FF0"/>
    <w:rsid w:val="00D93B3E"/>
    <w:rsid w:val="00DA219C"/>
    <w:rsid w:val="00DA55F2"/>
    <w:rsid w:val="00DC452B"/>
    <w:rsid w:val="00DC603A"/>
    <w:rsid w:val="00DE19AB"/>
    <w:rsid w:val="00DF29EF"/>
    <w:rsid w:val="00E26F72"/>
    <w:rsid w:val="00E4772B"/>
    <w:rsid w:val="00E50261"/>
    <w:rsid w:val="00E5702E"/>
    <w:rsid w:val="00E579B5"/>
    <w:rsid w:val="00E66FB9"/>
    <w:rsid w:val="00E715E1"/>
    <w:rsid w:val="00E72E4F"/>
    <w:rsid w:val="00E77298"/>
    <w:rsid w:val="00E91FE7"/>
    <w:rsid w:val="00EB5528"/>
    <w:rsid w:val="00EC11CC"/>
    <w:rsid w:val="00ED0981"/>
    <w:rsid w:val="00ED59F8"/>
    <w:rsid w:val="00EE457F"/>
    <w:rsid w:val="00F11813"/>
    <w:rsid w:val="00F368F2"/>
    <w:rsid w:val="00F52DA8"/>
    <w:rsid w:val="00F605ED"/>
    <w:rsid w:val="00F725F6"/>
    <w:rsid w:val="00F9013B"/>
    <w:rsid w:val="00F917F9"/>
    <w:rsid w:val="00F95797"/>
    <w:rsid w:val="00FB147E"/>
    <w:rsid w:val="00FB2FE8"/>
    <w:rsid w:val="00FC05E8"/>
    <w:rsid w:val="00FC0946"/>
    <w:rsid w:val="00FD03F0"/>
    <w:rsid w:val="00FD054D"/>
    <w:rsid w:val="00FD7C33"/>
    <w:rsid w:val="00FF536E"/>
    <w:rsid w:val="00FF609A"/>
    <w:rsid w:val="287550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bs-Latn-BA" w:eastAsia="en-US" w:bidi="ar-SA"/>
    </w:rPr>
  </w:style>
  <w:style w:type="paragraph" w:styleId="2">
    <w:name w:val="heading 2"/>
    <w:basedOn w:val="1"/>
    <w:next w:val="1"/>
    <w:link w:val="16"/>
    <w:qFormat/>
    <w:uiPriority w:val="9"/>
    <w:pPr>
      <w:keepNext/>
      <w:spacing w:before="240" w:after="60" w:line="240" w:lineRule="auto"/>
      <w:outlineLvl w:val="1"/>
    </w:pPr>
    <w:rPr>
      <w:rFonts w:ascii="Cambria" w:hAnsi="Cambria" w:eastAsia="Times New Roman" w:cs="Times New Roman"/>
      <w:b/>
      <w:bCs/>
      <w:i/>
      <w:iCs/>
      <w:sz w:val="28"/>
      <w:szCs w:val="28"/>
      <w:lang w:val="en-US"/>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4"/>
    <w:semiHidden/>
    <w:unhideWhenUsed/>
    <w:uiPriority w:val="99"/>
    <w:pPr>
      <w:spacing w:after="0" w:line="240" w:lineRule="auto"/>
    </w:pPr>
    <w:rPr>
      <w:rFonts w:ascii="Tahoma" w:hAnsi="Tahoma" w:cs="Tahoma"/>
      <w:sz w:val="16"/>
      <w:szCs w:val="16"/>
    </w:rPr>
  </w:style>
  <w:style w:type="paragraph" w:styleId="6">
    <w:name w:val="footer"/>
    <w:basedOn w:val="1"/>
    <w:link w:val="13"/>
    <w:unhideWhenUsed/>
    <w:uiPriority w:val="99"/>
    <w:pPr>
      <w:tabs>
        <w:tab w:val="center" w:pos="4513"/>
        <w:tab w:val="right" w:pos="9026"/>
      </w:tabs>
      <w:spacing w:after="0" w:line="240" w:lineRule="auto"/>
    </w:pPr>
  </w:style>
  <w:style w:type="character" w:styleId="7">
    <w:name w:val="footnote reference"/>
    <w:basedOn w:val="3"/>
    <w:semiHidden/>
    <w:unhideWhenUsed/>
    <w:uiPriority w:val="99"/>
    <w:rPr>
      <w:vertAlign w:val="superscript"/>
    </w:rPr>
  </w:style>
  <w:style w:type="paragraph" w:styleId="8">
    <w:name w:val="footnote text"/>
    <w:basedOn w:val="1"/>
    <w:link w:val="15"/>
    <w:semiHidden/>
    <w:unhideWhenUsed/>
    <w:uiPriority w:val="99"/>
    <w:pPr>
      <w:spacing w:after="0" w:line="240" w:lineRule="auto"/>
    </w:pPr>
    <w:rPr>
      <w:sz w:val="20"/>
      <w:szCs w:val="20"/>
    </w:rPr>
  </w:style>
  <w:style w:type="paragraph" w:styleId="9">
    <w:name w:val="header"/>
    <w:basedOn w:val="1"/>
    <w:link w:val="12"/>
    <w:unhideWhenUsed/>
    <w:uiPriority w:val="99"/>
    <w:pPr>
      <w:tabs>
        <w:tab w:val="center" w:pos="4513"/>
        <w:tab w:val="right" w:pos="9026"/>
      </w:tabs>
      <w:spacing w:after="0" w:line="240" w:lineRule="auto"/>
    </w:pPr>
  </w:style>
  <w:style w:type="table" w:styleId="10">
    <w:name w:val="Table Grid"/>
    <w:basedOn w:val="4"/>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left="720"/>
      <w:contextualSpacing/>
    </w:pPr>
  </w:style>
  <w:style w:type="character" w:customStyle="1" w:styleId="12">
    <w:name w:val="Header Char"/>
    <w:basedOn w:val="3"/>
    <w:link w:val="9"/>
    <w:uiPriority w:val="99"/>
  </w:style>
  <w:style w:type="character" w:customStyle="1" w:styleId="13">
    <w:name w:val="Footer Char"/>
    <w:basedOn w:val="3"/>
    <w:link w:val="6"/>
    <w:uiPriority w:val="99"/>
  </w:style>
  <w:style w:type="character" w:customStyle="1" w:styleId="14">
    <w:name w:val="Balloon Text Char"/>
    <w:basedOn w:val="3"/>
    <w:link w:val="5"/>
    <w:semiHidden/>
    <w:uiPriority w:val="99"/>
    <w:rPr>
      <w:rFonts w:ascii="Tahoma" w:hAnsi="Tahoma" w:cs="Tahoma"/>
      <w:sz w:val="16"/>
      <w:szCs w:val="16"/>
    </w:rPr>
  </w:style>
  <w:style w:type="character" w:customStyle="1" w:styleId="15">
    <w:name w:val="Footnote Text Char"/>
    <w:basedOn w:val="3"/>
    <w:link w:val="8"/>
    <w:semiHidden/>
    <w:uiPriority w:val="99"/>
    <w:rPr>
      <w:sz w:val="20"/>
      <w:szCs w:val="20"/>
    </w:rPr>
  </w:style>
  <w:style w:type="character" w:customStyle="1" w:styleId="16">
    <w:name w:val="Heading 2 Char"/>
    <w:basedOn w:val="3"/>
    <w:link w:val="2"/>
    <w:uiPriority w:val="9"/>
    <w:rPr>
      <w:rFonts w:ascii="Cambria" w:hAnsi="Cambria" w:eastAsia="Times New Roman" w:cs="Times New Roman"/>
      <w:b/>
      <w:bCs/>
      <w:i/>
      <w:iCs/>
      <w:sz w:val="28"/>
      <w:szCs w:val="28"/>
      <w:lang w:val="en-US"/>
    </w:rPr>
  </w:style>
  <w:style w:type="paragraph" w:styleId="17">
    <w:name w:val="No Spacing"/>
    <w:qFormat/>
    <w:uiPriority w:val="1"/>
    <w:pPr>
      <w:spacing w:after="0" w:line="240" w:lineRule="auto"/>
    </w:pPr>
    <w:rPr>
      <w:rFonts w:ascii="Calibri" w:hAnsi="Calibri" w:eastAsia="Calibri" w:cs="Calibr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292D619-CE8F-449D-B419-594FBB14BE9D}">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1321</Words>
  <Characters>7530</Characters>
  <Lines>62</Lines>
  <Paragraphs>17</Paragraphs>
  <TotalTime>12</TotalTime>
  <ScaleCrop>false</ScaleCrop>
  <LinksUpToDate>false</LinksUpToDate>
  <CharactersWithSpaces>8834</CharactersWithSpaces>
  <Application>WPS Office_12.2.0.13193_F1E327BC-269C-435d-A152-05C5408002CA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2023-09-01T09:57:00Z</dcterms:created>
  <dc:creator>user</dc:creator>
  <cp:lastModifiedBy>Neda Ivkovic</cp:lastModifiedBy>
  <cp:lastPrinted>2020-02-19T08:20:00Z</cp:lastPrinted>
  <dcterms:modified xsi:type="dcterms:W3CDTF">2023-09-04T07:06:45Z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1033-12.2.0.13193</vt:lpwstr>
  </property>
  <property fmtid="{D5CDD505-2E9C-101B-9397-08002B2CF9AE}" pid="3" name="ICV">
    <vt:lpwstr>6AF8BF6083AA4222BD1E6CB05F11324E_13</vt:lpwstr>
  </property>
</Properties>
</file>