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rPr>
          <w:rFonts w:ascii="Arial" w:hAnsi="Arial" w:eastAsia="Arial" w:cs="Arial"/>
          <w:color w:val="000000"/>
        </w:rPr>
      </w:pPr>
    </w:p>
    <w:tbl>
      <w:tblPr>
        <w:tblStyle w:val="13"/>
        <w:tblW w:w="9606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2048" w:type="dxa"/>
            <w:gridSpan w:val="3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  <w:lang w:val="en-US" w:eastAsia="en-US"/>
              </w:rPr>
              <w:drawing>
                <wp:inline distT="0" distB="0" distL="114300" distR="114300">
                  <wp:extent cx="743585" cy="74295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UNIVERSITY OF EAST SARAJEVO </w:t>
            </w:r>
          </w:p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Faculty logo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2048" w:type="dxa"/>
            <w:gridSpan w:val="3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i/>
                <w:sz w:val="20"/>
                <w:szCs w:val="20"/>
              </w:rPr>
              <w:t xml:space="preserve">Study program: Medicine </w:t>
            </w:r>
          </w:p>
        </w:tc>
        <w:tc>
          <w:tcPr>
            <w:tcW w:w="2286" w:type="dxa"/>
            <w:gridSpan w:val="3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48" w:type="dxa"/>
            <w:gridSpan w:val="3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ind w:left="720"/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  <w:t>1</w:t>
            </w: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  <w:vertAlign w:val="superscript"/>
              </w:rPr>
              <w:t>st</w:t>
            </w: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  <w:t xml:space="preserve"> Cycle </w:t>
            </w:r>
          </w:p>
        </w:tc>
        <w:tc>
          <w:tcPr>
            <w:tcW w:w="2636" w:type="dxa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ind w:left="360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  <w:t>2</w:t>
            </w: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  <w:vertAlign w:val="superscript"/>
              </w:rPr>
              <w:t>nd</w:t>
            </w: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  <w:t xml:space="preserve">  Year </w:t>
            </w:r>
          </w:p>
        </w:tc>
        <w:tc>
          <w:tcPr>
            <w:tcW w:w="2286" w:type="dxa"/>
            <w:gridSpan w:val="3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gridSpan w:val="3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Subject name</w:t>
            </w:r>
          </w:p>
        </w:tc>
        <w:tc>
          <w:tcPr>
            <w:tcW w:w="7558" w:type="dxa"/>
            <w:gridSpan w:val="14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Serbian Language 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gridSpan w:val="3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Department</w:t>
            </w: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Faculty of Medicine Foča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Subject Code 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Status of subject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ECTS credits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</w:trPr>
        <w:tc>
          <w:tcPr>
            <w:tcW w:w="2943" w:type="dxa"/>
            <w:gridSpan w:val="6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6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Winter</w:t>
            </w:r>
          </w:p>
        </w:tc>
        <w:tc>
          <w:tcPr>
            <w:tcW w:w="22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Professor(s) 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PhD Vera Ćevriz Nišić, associate professor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Assistant(s)</w:t>
            </w:r>
          </w:p>
        </w:tc>
        <w:tc>
          <w:tcPr>
            <w:tcW w:w="7938" w:type="dxa"/>
            <w:gridSpan w:val="15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PhD Marija Stijepić Pejić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gridSpan w:val="7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Number of classes per week </w:t>
            </w:r>
          </w:p>
        </w:tc>
        <w:tc>
          <w:tcPr>
            <w:tcW w:w="3823" w:type="dxa"/>
            <w:gridSpan w:val="8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Individual students’ workload (hours per semester)</w:t>
            </w:r>
          </w:p>
        </w:tc>
        <w:tc>
          <w:tcPr>
            <w:tcW w:w="1989" w:type="dxa"/>
            <w:gridSpan w:val="2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Coefficient of students’ workload S</w:t>
            </w:r>
            <w:r>
              <w:rPr>
                <w:rFonts w:ascii="Arial Narrow" w:hAnsi="Arial Narrow" w:eastAsia="Arial Narrow" w:cs="Arial Narrow"/>
                <w:b/>
                <w:sz w:val="20"/>
                <w:szCs w:val="20"/>
                <w:vertAlign w:val="subscript"/>
              </w:rPr>
              <w:t>o</w:t>
            </w:r>
            <w:r>
              <w:rPr>
                <w:rFonts w:ascii="Arial Narrow" w:hAnsi="Arial Narrow" w:eastAsia="Arial Narrow" w:cs="Arial Narrow"/>
                <w:b/>
                <w:sz w:val="20"/>
                <w:szCs w:val="20"/>
                <w:vertAlign w:val="superscript"/>
              </w:rPr>
              <w:footnoteReference w:id="0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LE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LE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</w:t>
            </w:r>
            <w:r>
              <w:rPr>
                <w:rFonts w:ascii="Arial Narrow" w:hAnsi="Arial Narrow" w:eastAsia="Arial Narrow" w:cs="Arial Narrow"/>
                <w:b/>
                <w:sz w:val="20"/>
                <w:szCs w:val="20"/>
                <w:vertAlign w:val="subscript"/>
              </w:rPr>
              <w:t>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</w:t>
            </w:r>
          </w:p>
        </w:tc>
        <w:tc>
          <w:tcPr>
            <w:tcW w:w="1272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0+15*1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 w:eastAsia="zh-CN" w:bidi="ar-SA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  <w:lang w:val="en-GB" w:eastAsia="zh-CN" w:bidi="ar-SA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  <w:lang w:val="en-GB" w:eastAsia="zh-CN" w:bidi="ar-SA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</w:t>
            </w:r>
          </w:p>
        </w:tc>
        <w:tc>
          <w:tcPr>
            <w:tcW w:w="1272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0+15*1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4" w:type="dxa"/>
            <w:gridSpan w:val="8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1*15+1*15+0*15=30</w:t>
            </w:r>
          </w:p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1*15+1*15+0*15=30</w:t>
            </w:r>
          </w:p>
        </w:tc>
        <w:tc>
          <w:tcPr>
            <w:tcW w:w="4992" w:type="dxa"/>
            <w:gridSpan w:val="9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1*15*1+1*15*1+0+15*1</w:t>
            </w:r>
          </w:p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1*15*1+1*15*1+0+15*1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Total professor workload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1. Upon completion of this course, students will be enabled to understand information,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2. usage of language in accordance with context and the aim of communication; 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3. acquiring grammatical language structure and its correct usage;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4. Ability to use Serbian language.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Prerequisites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Serbian Language 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Communicative method, Audio-lingual method, Audio-visual method.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Subject contents (per week)</w:t>
            </w:r>
          </w:p>
        </w:tc>
        <w:tc>
          <w:tcPr>
            <w:tcW w:w="7938" w:type="dxa"/>
            <w:gridSpan w:val="15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1. My family; nouns, possessive dative and genitive, countable nouns and numbers;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2. Professions/occupations; plural of nouns; pronouns (who/what);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3. Clothing and shoes, nouns – plurale tantum; adjectives, relative pronouns;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4. Free time; Sentence, cases for the expression of place;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5. Gastronomy; Subjunctive and Imperative;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6. Jobs, interviews; Verbal Aspect and Verbal Nouns; 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7. Report and Appeal; Conditionals; Declamation of Foreign Nouns; 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8.  Revision (test)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9. Sport; Participle Passive;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10. Traveling; Verbal Forms -ći and -vši;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11. Holidays: Potential; Word Order;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12. Geography Terms;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13. Media, Reading; Expression of Cause;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14.Humor and fun; Non-subject Sentences;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15. Test.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Sources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,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Name of publication, publisher 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Pages (from - to)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Milivoj Alanović, Isidora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Bjelaković, Nataša Bugarski,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Jasmina Dražić, Marina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Kurešević, Jelena Vojnović</w:t>
            </w:r>
          </w:p>
        </w:tc>
        <w:tc>
          <w:tcPr>
            <w:tcW w:w="4255" w:type="dxa"/>
            <w:gridSpan w:val="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Научимо српски. Let’s learn Serbian 2, Универзитет у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Новом Саду, Центар за српски језик као страни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2007.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7-134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Additional sources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Autor(s)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Name of publication, publisher 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Pages (from-to)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" w:hRule="atLeast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Types of assessment and grading 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Student evaluation 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Percentage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Attendance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Seminar/project/essay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Group work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Test/colloquium 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Laboratory ex.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Class activities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Final exam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Final exam oral/written 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5</w:t>
            </w: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100 %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Web page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Date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</w:tbl>
    <w:p>
      <w:pPr>
        <w:rPr>
          <w:rFonts w:ascii="Arial Narrow" w:hAnsi="Arial Narrow" w:eastAsia="Arial Narrow" w:cs="Arial Narrow"/>
          <w:sz w:val="18"/>
          <w:szCs w:val="18"/>
        </w:rPr>
      </w:pPr>
    </w:p>
    <w:p>
      <w:pPr>
        <w:rPr>
          <w:rFonts w:ascii="Arial Narrow" w:hAnsi="Arial Narrow" w:eastAsia="Arial Narrow" w:cs="Arial Narrow"/>
          <w:sz w:val="18"/>
          <w:szCs w:val="18"/>
        </w:rPr>
      </w:pPr>
      <w:bookmarkStart w:id="0" w:name="_GoBack"/>
      <w:bookmarkEnd w:id="0"/>
    </w:p>
    <w:sectPr>
      <w:footerReference r:id="rId5" w:type="default"/>
      <w:pgSz w:w="11906" w:h="16838"/>
      <w:pgMar w:top="851" w:right="567" w:bottom="851" w:left="1418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right"/>
      <w:rPr>
        <w:color w:val="00000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76" w:lineRule="auto"/>
      </w:pPr>
      <w:r>
        <w:separator/>
      </w:r>
    </w:p>
  </w:footnote>
  <w:footnote w:type="continuationSeparator" w:id="3">
    <w:p>
      <w:pPr>
        <w:spacing w:before="0" w:after="0" w:line="276" w:lineRule="auto"/>
      </w:pPr>
      <w:r>
        <w:continuationSeparator/>
      </w:r>
    </w:p>
  </w:footnote>
  <w:footnote w:id="0"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color w:val="000000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documentProtection w:enforcement="0"/>
  <w:defaultTabStop w:val="720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F45"/>
    <w:rsid w:val="002230BE"/>
    <w:rsid w:val="00687AC7"/>
    <w:rsid w:val="00731D09"/>
    <w:rsid w:val="0074388E"/>
    <w:rsid w:val="00842893"/>
    <w:rsid w:val="00BB39F9"/>
    <w:rsid w:val="00C235B9"/>
    <w:rsid w:val="00EA5CC7"/>
    <w:rsid w:val="00F03F45"/>
    <w:rsid w:val="00F26AF8"/>
    <w:rsid w:val="14EA2145"/>
    <w:rsid w:val="6D761159"/>
    <w:rsid w:val="7D0C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GB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spacing w:before="240" w:after="60" w:line="240" w:lineRule="auto"/>
      <w:outlineLvl w:val="1"/>
    </w:pPr>
    <w:rPr>
      <w:rFonts w:ascii="Cambria" w:hAnsi="Cambria" w:eastAsia="Cambria" w:cs="Cambria"/>
      <w:b/>
      <w:i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3">
    <w:name w:val="_Style 11"/>
    <w:basedOn w:val="9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Balloon Text Char"/>
    <w:basedOn w:val="8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365</Words>
  <Characters>2086</Characters>
  <Lines>17</Lines>
  <Paragraphs>4</Paragraphs>
  <TotalTime>27</TotalTime>
  <ScaleCrop>false</ScaleCrop>
  <LinksUpToDate>false</LinksUpToDate>
  <CharactersWithSpaces>2447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2023-08-27T14:36:00Z</dcterms:created>
  <dc:creator>Lenovo</dc:creator>
  <cp:lastModifiedBy>Neda Ivkovic</cp:lastModifiedBy>
  <dcterms:modified xsi:type="dcterms:W3CDTF">2023-10-30T09:26:54Z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F9498A7CF15A4981AF935A8CA48CF57B_13</vt:lpwstr>
  </property>
</Properties>
</file>