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32"/>
        <w:gridCol w:w="1957"/>
      </w:tblGrid>
      <w:tr w:rsidR="005B3B6D" w:rsidRPr="003A3128" w14:paraId="033EED1C" w14:textId="77777777" w:rsidTr="005B3B6D">
        <w:trPr>
          <w:trHeight w:val="701"/>
        </w:trPr>
        <w:tc>
          <w:tcPr>
            <w:tcW w:w="2048" w:type="dxa"/>
            <w:gridSpan w:val="3"/>
            <w:vMerge w:val="restart"/>
            <w:shd w:val="clear" w:color="auto" w:fill="auto"/>
            <w:vAlign w:val="center"/>
          </w:tcPr>
          <w:p w14:paraId="3E904347" w14:textId="77777777" w:rsidR="005B3B6D" w:rsidRPr="003A3128" w:rsidRDefault="005B3B6D" w:rsidP="00245174">
            <w:pPr>
              <w:jc w:val="center"/>
              <w:rPr>
                <w:rFonts w:ascii="Arial Narrow" w:hAnsi="Arial Narrow" w:cs="Times New Roman"/>
                <w:color w:val="000000" w:themeColor="text1"/>
                <w:sz w:val="20"/>
                <w:szCs w:val="20"/>
                <w:lang w:val="sr-Cyrl-BA"/>
              </w:rPr>
            </w:pPr>
            <w:r w:rsidRPr="003A3128">
              <w:rPr>
                <w:rFonts w:ascii="Arial Narrow" w:hAnsi="Arial Narrow" w:cs="Times New Roman"/>
                <w:noProof/>
                <w:color w:val="000000" w:themeColor="text1"/>
                <w:sz w:val="20"/>
                <w:szCs w:val="20"/>
                <w:lang w:val="en-US"/>
              </w:rPr>
              <w:drawing>
                <wp:inline distT="0" distB="0" distL="0" distR="0" wp14:anchorId="47903D67" wp14:editId="0ED5CE9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14:paraId="5B9D8E8F" w14:textId="77777777" w:rsidR="005B3B6D" w:rsidRPr="008603B7" w:rsidRDefault="005B3B6D" w:rsidP="005B3B6D">
            <w:pPr>
              <w:jc w:val="center"/>
              <w:rPr>
                <w:rFonts w:ascii="Times New Roman" w:hAnsi="Times New Roman" w:cs="Times New Roman"/>
                <w:b/>
                <w:sz w:val="18"/>
                <w:szCs w:val="18"/>
                <w:lang w:val="en-US"/>
              </w:rPr>
            </w:pPr>
            <w:r w:rsidRPr="008603B7">
              <w:rPr>
                <w:rFonts w:ascii="Times New Roman" w:hAnsi="Times New Roman" w:cs="Times New Roman"/>
                <w:b/>
                <w:sz w:val="18"/>
                <w:szCs w:val="18"/>
                <w:lang w:val="en-US"/>
              </w:rPr>
              <w:t>UNIVERSITY OF EAST SARAJEVO</w:t>
            </w:r>
          </w:p>
          <w:p w14:paraId="0D89B5EE" w14:textId="4672DC84" w:rsidR="005B3B6D" w:rsidRPr="003A3128" w:rsidRDefault="005B3B6D" w:rsidP="005B3B6D">
            <w:pPr>
              <w:jc w:val="center"/>
              <w:rPr>
                <w:rFonts w:ascii="Arial Narrow" w:hAnsi="Arial Narrow" w:cs="Times New Roman"/>
                <w:b/>
                <w:color w:val="000000" w:themeColor="text1"/>
                <w:sz w:val="20"/>
                <w:szCs w:val="20"/>
                <w:lang w:val="sr-Cyrl-CS"/>
              </w:rPr>
            </w:pPr>
            <w:r w:rsidRPr="008603B7">
              <w:rPr>
                <w:rFonts w:ascii="Times New Roman" w:hAnsi="Times New Roman" w:cs="Times New Roman"/>
                <w:sz w:val="18"/>
                <w:szCs w:val="18"/>
                <w:lang w:val="en-US"/>
              </w:rPr>
              <w:t xml:space="preserve">Faculty of Medicine </w:t>
            </w:r>
            <w:proofErr w:type="spellStart"/>
            <w:r w:rsidRPr="008603B7">
              <w:rPr>
                <w:rFonts w:ascii="Times New Roman" w:hAnsi="Times New Roman" w:cs="Times New Roman"/>
                <w:sz w:val="18"/>
                <w:szCs w:val="18"/>
                <w:lang w:val="en-US"/>
              </w:rPr>
              <w:t>Foča</w:t>
            </w:r>
            <w:proofErr w:type="spellEnd"/>
          </w:p>
        </w:tc>
        <w:tc>
          <w:tcPr>
            <w:tcW w:w="2287" w:type="dxa"/>
            <w:gridSpan w:val="3"/>
            <w:vMerge w:val="restart"/>
            <w:vAlign w:val="center"/>
          </w:tcPr>
          <w:p w14:paraId="7715327D" w14:textId="77777777" w:rsidR="005B3B6D" w:rsidRPr="003A3128" w:rsidRDefault="005B3B6D" w:rsidP="00245174">
            <w:pPr>
              <w:jc w:val="center"/>
              <w:rPr>
                <w:rFonts w:ascii="Arial Narrow" w:hAnsi="Arial Narrow" w:cs="Times New Roman"/>
                <w:color w:val="000000" w:themeColor="text1"/>
                <w:sz w:val="20"/>
                <w:szCs w:val="20"/>
                <w:lang w:val="sr-Cyrl-BA"/>
              </w:rPr>
            </w:pPr>
            <w:r w:rsidRPr="003A3128">
              <w:rPr>
                <w:rFonts w:ascii="Arial Narrow" w:hAnsi="Arial Narrow" w:cs="Times New Roman"/>
                <w:noProof/>
                <w:color w:val="000000" w:themeColor="text1"/>
                <w:sz w:val="20"/>
                <w:szCs w:val="20"/>
                <w:lang w:val="en-US"/>
              </w:rPr>
              <w:drawing>
                <wp:anchor distT="0" distB="0" distL="114300" distR="114300" simplePos="0" relativeHeight="251663360" behindDoc="0" locked="0" layoutInCell="1" allowOverlap="1" wp14:anchorId="569EC99B" wp14:editId="24A9231D">
                  <wp:simplePos x="0" y="0"/>
                  <wp:positionH relativeFrom="margin">
                    <wp:posOffset>287655</wp:posOffset>
                  </wp:positionH>
                  <wp:positionV relativeFrom="paragraph">
                    <wp:posOffset>1905</wp:posOffset>
                  </wp:positionV>
                  <wp:extent cx="775335" cy="731520"/>
                  <wp:effectExtent l="0" t="0" r="0" b="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5335" cy="7315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5B3B6D" w:rsidRPr="003A3128" w14:paraId="6CC2D845" w14:textId="77777777" w:rsidTr="00245174">
        <w:trPr>
          <w:trHeight w:val="366"/>
        </w:trPr>
        <w:tc>
          <w:tcPr>
            <w:tcW w:w="2048" w:type="dxa"/>
            <w:gridSpan w:val="3"/>
            <w:vMerge/>
            <w:shd w:val="clear" w:color="auto" w:fill="auto"/>
            <w:vAlign w:val="center"/>
          </w:tcPr>
          <w:p w14:paraId="201AFCDA" w14:textId="77777777" w:rsidR="005B3B6D" w:rsidRPr="003A3128" w:rsidRDefault="005B3B6D" w:rsidP="00245174">
            <w:pPr>
              <w:rPr>
                <w:rFonts w:ascii="Arial Narrow" w:hAnsi="Arial Narrow" w:cs="Times New Roman"/>
                <w:color w:val="000000" w:themeColor="text1"/>
                <w:sz w:val="20"/>
                <w:szCs w:val="20"/>
                <w:lang w:val="sr-Cyrl-BA"/>
              </w:rPr>
            </w:pPr>
          </w:p>
        </w:tc>
        <w:tc>
          <w:tcPr>
            <w:tcW w:w="5272" w:type="dxa"/>
            <w:gridSpan w:val="11"/>
            <w:shd w:val="clear" w:color="auto" w:fill="BFBFBF" w:themeFill="background1" w:themeFillShade="BF"/>
            <w:vAlign w:val="center"/>
          </w:tcPr>
          <w:p w14:paraId="4662FB15" w14:textId="4A59DF50" w:rsidR="005B3B6D" w:rsidRPr="003A3128" w:rsidRDefault="005B3B6D" w:rsidP="00245174">
            <w:pPr>
              <w:jc w:val="center"/>
              <w:rPr>
                <w:rFonts w:ascii="Arial Narrow" w:hAnsi="Arial Narrow" w:cs="Times New Roman"/>
                <w:b/>
                <w:i/>
                <w:color w:val="000000" w:themeColor="text1"/>
                <w:sz w:val="20"/>
                <w:szCs w:val="20"/>
                <w:lang w:val="sr-Cyrl-BA"/>
              </w:rPr>
            </w:pPr>
            <w:r w:rsidRPr="008603B7">
              <w:rPr>
                <w:rFonts w:ascii="Times New Roman" w:hAnsi="Times New Roman" w:cs="Times New Roman"/>
                <w:b/>
                <w:i/>
                <w:color w:val="000000" w:themeColor="text1"/>
                <w:sz w:val="18"/>
                <w:szCs w:val="18"/>
              </w:rPr>
              <w:t>Study program: Nursing</w:t>
            </w:r>
          </w:p>
        </w:tc>
        <w:tc>
          <w:tcPr>
            <w:tcW w:w="2287" w:type="dxa"/>
            <w:gridSpan w:val="3"/>
            <w:vMerge/>
            <w:vAlign w:val="center"/>
          </w:tcPr>
          <w:p w14:paraId="5E4734D6" w14:textId="77777777" w:rsidR="005B3B6D" w:rsidRPr="003A3128" w:rsidRDefault="005B3B6D" w:rsidP="00245174">
            <w:pPr>
              <w:rPr>
                <w:rFonts w:ascii="Arial Narrow" w:hAnsi="Arial Narrow" w:cs="Times New Roman"/>
                <w:color w:val="000000" w:themeColor="text1"/>
                <w:sz w:val="20"/>
                <w:szCs w:val="20"/>
                <w:lang w:val="sr-Cyrl-BA"/>
              </w:rPr>
            </w:pPr>
          </w:p>
        </w:tc>
      </w:tr>
      <w:tr w:rsidR="005B3B6D" w:rsidRPr="003A3128" w14:paraId="5F5C7F7F" w14:textId="77777777" w:rsidTr="00245174">
        <w:tc>
          <w:tcPr>
            <w:tcW w:w="2048" w:type="dxa"/>
            <w:gridSpan w:val="3"/>
            <w:vMerge/>
            <w:tcBorders>
              <w:bottom w:val="single" w:sz="4" w:space="0" w:color="auto"/>
            </w:tcBorders>
            <w:shd w:val="clear" w:color="auto" w:fill="auto"/>
            <w:vAlign w:val="center"/>
          </w:tcPr>
          <w:p w14:paraId="09EFC9CD" w14:textId="77777777" w:rsidR="005B3B6D" w:rsidRPr="003A3128" w:rsidRDefault="005B3B6D" w:rsidP="005B3B6D">
            <w:pPr>
              <w:rPr>
                <w:rFonts w:ascii="Arial Narrow" w:hAnsi="Arial Narrow" w:cs="Times New Roman"/>
                <w:color w:val="000000" w:themeColor="text1"/>
                <w:sz w:val="20"/>
                <w:szCs w:val="20"/>
                <w:lang w:val="sr-Cyrl-BA"/>
              </w:rPr>
            </w:pPr>
          </w:p>
        </w:tc>
        <w:tc>
          <w:tcPr>
            <w:tcW w:w="2636" w:type="dxa"/>
            <w:gridSpan w:val="6"/>
            <w:tcBorders>
              <w:bottom w:val="single" w:sz="4" w:space="0" w:color="auto"/>
            </w:tcBorders>
            <w:vAlign w:val="center"/>
          </w:tcPr>
          <w:p w14:paraId="4F1D8554" w14:textId="36552995" w:rsidR="005B3B6D" w:rsidRPr="003A3128" w:rsidRDefault="005B3B6D" w:rsidP="005B3B6D">
            <w:pPr>
              <w:jc w:val="center"/>
              <w:rPr>
                <w:rFonts w:ascii="Arial Narrow" w:hAnsi="Arial Narrow" w:cs="Times New Roman"/>
                <w:color w:val="000000" w:themeColor="text1"/>
                <w:sz w:val="20"/>
                <w:szCs w:val="20"/>
                <w:lang w:val="sr-Cyrl-BA"/>
              </w:rPr>
            </w:pPr>
            <w:r w:rsidRPr="008603B7">
              <w:rPr>
                <w:rFonts w:ascii="Times New Roman" w:hAnsi="Times New Roman" w:cs="Times New Roman"/>
                <w:sz w:val="18"/>
                <w:szCs w:val="18"/>
                <w:lang w:val="sr-Latn-CS"/>
              </w:rPr>
              <w:t xml:space="preserve">I </w:t>
            </w:r>
            <w:r w:rsidRPr="008603B7">
              <w:rPr>
                <w:rFonts w:ascii="Times New Roman" w:hAnsi="Times New Roman" w:cs="Times New Roman"/>
                <w:sz w:val="18"/>
                <w:szCs w:val="18"/>
                <w:lang w:val="sr-Latn-BA"/>
              </w:rPr>
              <w:t>study cycle</w:t>
            </w:r>
          </w:p>
        </w:tc>
        <w:tc>
          <w:tcPr>
            <w:tcW w:w="2636" w:type="dxa"/>
            <w:gridSpan w:val="5"/>
            <w:tcBorders>
              <w:bottom w:val="single" w:sz="4" w:space="0" w:color="auto"/>
            </w:tcBorders>
            <w:vAlign w:val="center"/>
          </w:tcPr>
          <w:p w14:paraId="3A90C8C6" w14:textId="4B514DBA" w:rsidR="005B3B6D" w:rsidRPr="003A3128" w:rsidRDefault="005B3B6D" w:rsidP="005B3B6D">
            <w:pPr>
              <w:jc w:val="center"/>
              <w:rPr>
                <w:rFonts w:ascii="Arial Narrow" w:hAnsi="Arial Narrow" w:cs="Times New Roman"/>
                <w:color w:val="000000" w:themeColor="text1"/>
                <w:sz w:val="20"/>
                <w:szCs w:val="20"/>
                <w:lang w:val="sr-Cyrl-BA"/>
              </w:rPr>
            </w:pPr>
            <w:r w:rsidRPr="008603B7">
              <w:rPr>
                <w:rFonts w:ascii="Times New Roman" w:hAnsi="Times New Roman" w:cs="Times New Roman"/>
                <w:sz w:val="18"/>
                <w:szCs w:val="18"/>
                <w:lang w:val="sr-Cyrl-BA"/>
              </w:rPr>
              <w:t>I</w:t>
            </w:r>
            <w:r w:rsidRPr="008603B7">
              <w:rPr>
                <w:rFonts w:ascii="Times New Roman" w:hAnsi="Times New Roman" w:cs="Times New Roman"/>
                <w:sz w:val="18"/>
                <w:szCs w:val="18"/>
                <w:lang w:val="sr-Latn-CS"/>
              </w:rPr>
              <w:t>I</w:t>
            </w:r>
            <w:r w:rsidRPr="008603B7">
              <w:rPr>
                <w:rFonts w:ascii="Times New Roman" w:hAnsi="Times New Roman" w:cs="Times New Roman"/>
                <w:sz w:val="18"/>
                <w:szCs w:val="18"/>
                <w:lang w:val="sr-Cyrl-BA"/>
              </w:rPr>
              <w:t xml:space="preserve"> </w:t>
            </w:r>
            <w:r w:rsidRPr="008603B7">
              <w:rPr>
                <w:rFonts w:ascii="Times New Roman" w:hAnsi="Times New Roman" w:cs="Times New Roman"/>
                <w:sz w:val="18"/>
                <w:szCs w:val="18"/>
                <w:lang w:val="sr-Latn-BA"/>
              </w:rPr>
              <w:t>study year</w:t>
            </w:r>
          </w:p>
        </w:tc>
        <w:tc>
          <w:tcPr>
            <w:tcW w:w="2287" w:type="dxa"/>
            <w:gridSpan w:val="3"/>
            <w:vMerge/>
            <w:tcBorders>
              <w:bottom w:val="single" w:sz="4" w:space="0" w:color="auto"/>
            </w:tcBorders>
            <w:vAlign w:val="center"/>
          </w:tcPr>
          <w:p w14:paraId="5F7324ED" w14:textId="77777777" w:rsidR="005B3B6D" w:rsidRPr="003A3128" w:rsidRDefault="005B3B6D" w:rsidP="005B3B6D">
            <w:pPr>
              <w:rPr>
                <w:rFonts w:ascii="Arial Narrow" w:hAnsi="Arial Narrow" w:cs="Times New Roman"/>
                <w:color w:val="000000" w:themeColor="text1"/>
                <w:sz w:val="20"/>
                <w:szCs w:val="20"/>
                <w:lang w:val="sr-Cyrl-BA"/>
              </w:rPr>
            </w:pPr>
          </w:p>
        </w:tc>
      </w:tr>
      <w:tr w:rsidR="005B3B6D" w:rsidRPr="003A3128" w14:paraId="69C3AA23" w14:textId="77777777" w:rsidTr="00245174">
        <w:tc>
          <w:tcPr>
            <w:tcW w:w="2048" w:type="dxa"/>
            <w:gridSpan w:val="3"/>
            <w:shd w:val="clear" w:color="auto" w:fill="D9D9D9" w:themeFill="background1" w:themeFillShade="D9"/>
            <w:vAlign w:val="center"/>
          </w:tcPr>
          <w:p w14:paraId="7A941E73" w14:textId="565F839D" w:rsidR="005B3B6D" w:rsidRPr="003A3128" w:rsidRDefault="005B3B6D" w:rsidP="005B3B6D">
            <w:pP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Full subject title</w:t>
            </w:r>
          </w:p>
        </w:tc>
        <w:tc>
          <w:tcPr>
            <w:tcW w:w="7559" w:type="dxa"/>
            <w:gridSpan w:val="14"/>
            <w:vAlign w:val="center"/>
          </w:tcPr>
          <w:p w14:paraId="1F611086" w14:textId="701EEA51" w:rsidR="005B3B6D" w:rsidRPr="003A3128" w:rsidRDefault="005B3B6D" w:rsidP="005B3B6D">
            <w:pPr>
              <w:rPr>
                <w:rFonts w:ascii="Arial Narrow" w:hAnsi="Arial Narrow" w:cs="Times New Roman"/>
                <w:color w:val="000000" w:themeColor="text1"/>
                <w:sz w:val="20"/>
                <w:szCs w:val="20"/>
                <w:lang w:val="sr-Latn-CS"/>
              </w:rPr>
            </w:pPr>
            <w:r w:rsidRPr="005B3B6D">
              <w:rPr>
                <w:rFonts w:ascii="Arial Narrow" w:hAnsi="Arial Narrow" w:cs="Times New Roman"/>
                <w:color w:val="000000" w:themeColor="text1"/>
                <w:sz w:val="20"/>
                <w:szCs w:val="20"/>
              </w:rPr>
              <w:t>PHARMACOLOGY AND TOXICOLOGY</w:t>
            </w:r>
          </w:p>
        </w:tc>
      </w:tr>
      <w:tr w:rsidR="005B3B6D" w:rsidRPr="003A3128" w14:paraId="1661A50C" w14:textId="77777777" w:rsidTr="00245174">
        <w:tc>
          <w:tcPr>
            <w:tcW w:w="2048" w:type="dxa"/>
            <w:gridSpan w:val="3"/>
            <w:tcBorders>
              <w:bottom w:val="single" w:sz="4" w:space="0" w:color="auto"/>
            </w:tcBorders>
            <w:shd w:val="clear" w:color="auto" w:fill="D9D9D9" w:themeFill="background1" w:themeFillShade="D9"/>
            <w:vAlign w:val="center"/>
          </w:tcPr>
          <w:p w14:paraId="1262E92B" w14:textId="7314731C" w:rsidR="005B3B6D" w:rsidRPr="003A3128" w:rsidRDefault="005B3B6D" w:rsidP="005B3B6D">
            <w:pP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Department</w:t>
            </w:r>
          </w:p>
        </w:tc>
        <w:tc>
          <w:tcPr>
            <w:tcW w:w="7559" w:type="dxa"/>
            <w:gridSpan w:val="14"/>
            <w:tcBorders>
              <w:bottom w:val="single" w:sz="4" w:space="0" w:color="auto"/>
            </w:tcBorders>
            <w:vAlign w:val="center"/>
          </w:tcPr>
          <w:p w14:paraId="7797D209" w14:textId="4CA02269" w:rsidR="005B3B6D" w:rsidRPr="003A3128" w:rsidRDefault="005B3B6D" w:rsidP="005B3B6D">
            <w:pPr>
              <w:rPr>
                <w:rFonts w:ascii="Arial Narrow" w:hAnsi="Arial Narrow" w:cs="Times New Roman"/>
                <w:color w:val="000000" w:themeColor="text1"/>
                <w:sz w:val="20"/>
                <w:szCs w:val="20"/>
                <w:lang w:val="sr-Cyrl-RS"/>
              </w:rPr>
            </w:pPr>
            <w:r w:rsidRPr="005B3B6D">
              <w:rPr>
                <w:rFonts w:ascii="Arial Narrow" w:hAnsi="Arial Narrow" w:cs="Times New Roman"/>
                <w:color w:val="000000" w:themeColor="text1"/>
                <w:sz w:val="20"/>
                <w:szCs w:val="20"/>
              </w:rPr>
              <w:t>Department of Pharmacology, Faculty of Medicine Foča</w:t>
            </w:r>
          </w:p>
        </w:tc>
      </w:tr>
      <w:tr w:rsidR="005B3B6D" w:rsidRPr="003A3128" w14:paraId="0F6EA510" w14:textId="77777777" w:rsidTr="00245174">
        <w:trPr>
          <w:trHeight w:val="230"/>
        </w:trPr>
        <w:tc>
          <w:tcPr>
            <w:tcW w:w="2943" w:type="dxa"/>
            <w:gridSpan w:val="6"/>
            <w:shd w:val="clear" w:color="auto" w:fill="D9D9D9" w:themeFill="background1" w:themeFillShade="D9"/>
            <w:vAlign w:val="center"/>
          </w:tcPr>
          <w:p w14:paraId="3B0587EA" w14:textId="743FCA88" w:rsidR="005B3B6D" w:rsidRPr="003A3128" w:rsidRDefault="005B3B6D" w:rsidP="005B3B6D">
            <w:pPr>
              <w:jc w:val="cente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Subject code</w:t>
            </w:r>
          </w:p>
        </w:tc>
        <w:tc>
          <w:tcPr>
            <w:tcW w:w="2268" w:type="dxa"/>
            <w:gridSpan w:val="5"/>
            <w:shd w:val="clear" w:color="auto" w:fill="D9D9D9" w:themeFill="background1" w:themeFillShade="D9"/>
            <w:vAlign w:val="center"/>
          </w:tcPr>
          <w:p w14:paraId="5E3BEB95" w14:textId="7EA88C00" w:rsidR="005B3B6D" w:rsidRPr="003A3128" w:rsidRDefault="005B3B6D" w:rsidP="005B3B6D">
            <w:pPr>
              <w:jc w:val="center"/>
              <w:rPr>
                <w:rFonts w:ascii="Arial Narrow" w:hAnsi="Arial Narrow" w:cs="Times New Roman"/>
                <w:b/>
                <w:color w:val="000000" w:themeColor="text1"/>
                <w:sz w:val="20"/>
                <w:szCs w:val="20"/>
                <w:lang w:val="sr-Latn-BA"/>
              </w:rPr>
            </w:pPr>
            <w:r w:rsidRPr="008603B7">
              <w:rPr>
                <w:rFonts w:ascii="Times New Roman" w:hAnsi="Times New Roman" w:cs="Times New Roman"/>
                <w:b/>
                <w:sz w:val="18"/>
                <w:szCs w:val="18"/>
                <w:lang w:val="en-US"/>
              </w:rPr>
              <w:t>Subject status</w:t>
            </w:r>
          </w:p>
        </w:tc>
        <w:tc>
          <w:tcPr>
            <w:tcW w:w="2109" w:type="dxa"/>
            <w:gridSpan w:val="3"/>
            <w:shd w:val="clear" w:color="auto" w:fill="D9D9D9" w:themeFill="background1" w:themeFillShade="D9"/>
            <w:vAlign w:val="center"/>
          </w:tcPr>
          <w:p w14:paraId="3BC98939" w14:textId="345413A2" w:rsidR="005B3B6D" w:rsidRPr="003A3128" w:rsidRDefault="005B3B6D" w:rsidP="005B3B6D">
            <w:pPr>
              <w:jc w:val="center"/>
              <w:rPr>
                <w:rFonts w:ascii="Arial Narrow" w:hAnsi="Arial Narrow" w:cs="Times New Roman"/>
                <w:b/>
                <w:color w:val="000000" w:themeColor="text1"/>
                <w:sz w:val="20"/>
                <w:szCs w:val="20"/>
                <w:lang w:val="sr-Latn-BA"/>
              </w:rPr>
            </w:pPr>
            <w:r w:rsidRPr="008603B7">
              <w:rPr>
                <w:rFonts w:ascii="Times New Roman" w:hAnsi="Times New Roman" w:cs="Times New Roman"/>
                <w:b/>
                <w:sz w:val="18"/>
                <w:szCs w:val="18"/>
                <w:lang w:val="en-US"/>
              </w:rPr>
              <w:t>Semester</w:t>
            </w:r>
          </w:p>
        </w:tc>
        <w:tc>
          <w:tcPr>
            <w:tcW w:w="2287" w:type="dxa"/>
            <w:gridSpan w:val="3"/>
            <w:shd w:val="clear" w:color="auto" w:fill="D9D9D9" w:themeFill="background1" w:themeFillShade="D9"/>
            <w:vAlign w:val="center"/>
          </w:tcPr>
          <w:p w14:paraId="3DA21E3B" w14:textId="77777777" w:rsidR="005B3B6D" w:rsidRPr="003A3128" w:rsidRDefault="005B3B6D" w:rsidP="005B3B6D">
            <w:pPr>
              <w:jc w:val="center"/>
              <w:rPr>
                <w:rFonts w:ascii="Arial Narrow" w:hAnsi="Arial Narrow" w:cs="Times New Roman"/>
                <w:b/>
                <w:color w:val="000000" w:themeColor="text1"/>
                <w:sz w:val="20"/>
                <w:szCs w:val="20"/>
                <w:lang w:val="sr-Latn-BA"/>
              </w:rPr>
            </w:pPr>
            <w:r w:rsidRPr="003A3128">
              <w:rPr>
                <w:rFonts w:ascii="Arial Narrow" w:hAnsi="Arial Narrow" w:cs="Times New Roman"/>
                <w:b/>
                <w:color w:val="000000" w:themeColor="text1"/>
                <w:sz w:val="20"/>
                <w:szCs w:val="20"/>
                <w:lang w:val="sr-Latn-BA"/>
              </w:rPr>
              <w:t>ECTS</w:t>
            </w:r>
          </w:p>
        </w:tc>
      </w:tr>
      <w:tr w:rsidR="003A3128" w:rsidRPr="003A3128" w14:paraId="365B11E2" w14:textId="77777777" w:rsidTr="00245174">
        <w:tc>
          <w:tcPr>
            <w:tcW w:w="2943" w:type="dxa"/>
            <w:gridSpan w:val="6"/>
            <w:shd w:val="clear" w:color="auto" w:fill="auto"/>
            <w:vAlign w:val="center"/>
          </w:tcPr>
          <w:p w14:paraId="5ED0CA80" w14:textId="118D9493" w:rsidR="003A3128" w:rsidRPr="003A3128" w:rsidRDefault="00463327" w:rsidP="00245174">
            <w:pPr>
              <w:jc w:val="center"/>
              <w:rPr>
                <w:rFonts w:ascii="Arial Narrow" w:hAnsi="Arial Narrow" w:cs="Times New Roman"/>
                <w:color w:val="000000" w:themeColor="text1"/>
                <w:sz w:val="20"/>
                <w:szCs w:val="20"/>
                <w:lang w:val="sr-Cyrl-BA"/>
              </w:rPr>
            </w:pPr>
            <w:r>
              <w:rPr>
                <w:rFonts w:ascii="Arial Narrow" w:hAnsi="Arial Narrow" w:cs="Times New Roman"/>
                <w:color w:val="000000" w:themeColor="text1"/>
                <w:sz w:val="20"/>
                <w:szCs w:val="20"/>
              </w:rPr>
              <w:t>NU</w:t>
            </w:r>
            <w:bookmarkStart w:id="0" w:name="_GoBack"/>
            <w:bookmarkEnd w:id="0"/>
            <w:r w:rsidR="00053CB2">
              <w:rPr>
                <w:rFonts w:ascii="Arial Narrow" w:hAnsi="Arial Narrow" w:cs="Times New Roman"/>
                <w:color w:val="000000" w:themeColor="text1"/>
                <w:sz w:val="20"/>
                <w:szCs w:val="20"/>
              </w:rPr>
              <w:t>-0</w:t>
            </w:r>
            <w:r w:rsidR="00053CB2">
              <w:rPr>
                <w:rFonts w:ascii="Arial Narrow" w:hAnsi="Arial Narrow" w:cs="Times New Roman"/>
                <w:color w:val="000000" w:themeColor="text1"/>
                <w:sz w:val="20"/>
                <w:szCs w:val="20"/>
                <w:lang w:val="sr-Cyrl-RS"/>
              </w:rPr>
              <w:t>5</w:t>
            </w:r>
            <w:r w:rsidR="003A3128" w:rsidRPr="003A3128">
              <w:rPr>
                <w:rFonts w:ascii="Arial Narrow" w:hAnsi="Arial Narrow" w:cs="Times New Roman"/>
                <w:color w:val="000000" w:themeColor="text1"/>
                <w:sz w:val="20"/>
                <w:szCs w:val="20"/>
              </w:rPr>
              <w:t>-1-016-3</w:t>
            </w:r>
          </w:p>
        </w:tc>
        <w:tc>
          <w:tcPr>
            <w:tcW w:w="2268" w:type="dxa"/>
            <w:gridSpan w:val="5"/>
            <w:shd w:val="clear" w:color="auto" w:fill="auto"/>
            <w:vAlign w:val="center"/>
          </w:tcPr>
          <w:p w14:paraId="0AF57A14" w14:textId="6161C2B3" w:rsidR="003A3128" w:rsidRPr="003A3128" w:rsidRDefault="005B3B6D" w:rsidP="00245174">
            <w:pPr>
              <w:jc w:val="center"/>
              <w:rPr>
                <w:rFonts w:ascii="Arial Narrow" w:hAnsi="Arial Narrow" w:cs="Times New Roman"/>
                <w:color w:val="000000" w:themeColor="text1"/>
                <w:sz w:val="20"/>
                <w:szCs w:val="20"/>
                <w:lang w:val="sr-Latn-CS"/>
              </w:rPr>
            </w:pPr>
            <w:r w:rsidRPr="008603B7">
              <w:rPr>
                <w:rFonts w:ascii="Times New Roman" w:hAnsi="Times New Roman" w:cs="Times New Roman"/>
                <w:sz w:val="18"/>
                <w:szCs w:val="18"/>
                <w:lang w:val="sr-Cyrl-BA"/>
              </w:rPr>
              <w:t>compulsory</w:t>
            </w:r>
          </w:p>
        </w:tc>
        <w:tc>
          <w:tcPr>
            <w:tcW w:w="2109" w:type="dxa"/>
            <w:gridSpan w:val="3"/>
            <w:shd w:val="clear" w:color="auto" w:fill="auto"/>
            <w:vAlign w:val="center"/>
          </w:tcPr>
          <w:p w14:paraId="0659021F" w14:textId="77777777" w:rsidR="003A3128" w:rsidRPr="003A3128" w:rsidRDefault="003A3128" w:rsidP="00245174">
            <w:pPr>
              <w:jc w:val="cente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III</w:t>
            </w:r>
          </w:p>
        </w:tc>
        <w:tc>
          <w:tcPr>
            <w:tcW w:w="2287" w:type="dxa"/>
            <w:gridSpan w:val="3"/>
            <w:shd w:val="clear" w:color="auto" w:fill="auto"/>
            <w:vAlign w:val="center"/>
          </w:tcPr>
          <w:p w14:paraId="1FB32339" w14:textId="77777777" w:rsidR="003A3128" w:rsidRPr="003A3128" w:rsidRDefault="003A3128" w:rsidP="00245174">
            <w:pPr>
              <w:jc w:val="cente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BA"/>
              </w:rPr>
              <w:t>6</w:t>
            </w:r>
          </w:p>
        </w:tc>
      </w:tr>
      <w:tr w:rsidR="005B3B6D" w:rsidRPr="003A3128" w14:paraId="2E69BB2E" w14:textId="77777777" w:rsidTr="00245174">
        <w:tc>
          <w:tcPr>
            <w:tcW w:w="1668" w:type="dxa"/>
            <w:gridSpan w:val="2"/>
            <w:shd w:val="clear" w:color="auto" w:fill="D9D9D9" w:themeFill="background1" w:themeFillShade="D9"/>
            <w:vAlign w:val="center"/>
          </w:tcPr>
          <w:p w14:paraId="5EC9CC36" w14:textId="3DC7B8DE" w:rsidR="005B3B6D" w:rsidRPr="003A3128" w:rsidRDefault="005B3B6D" w:rsidP="005B3B6D">
            <w:pP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Professor/ -s</w:t>
            </w:r>
          </w:p>
        </w:tc>
        <w:tc>
          <w:tcPr>
            <w:tcW w:w="7939" w:type="dxa"/>
            <w:gridSpan w:val="15"/>
            <w:vAlign w:val="center"/>
          </w:tcPr>
          <w:p w14:paraId="591D076E" w14:textId="77777777" w:rsidR="005B3B6D" w:rsidRPr="00047C01" w:rsidRDefault="00047C01" w:rsidP="00047C01">
            <w:pPr>
              <w:rPr>
                <w:rFonts w:ascii="Arial Narrow" w:hAnsi="Arial Narrow"/>
                <w:color w:val="000000" w:themeColor="text1"/>
                <w:sz w:val="20"/>
                <w:szCs w:val="20"/>
                <w:lang w:val="sr-Cyrl-BA"/>
              </w:rPr>
            </w:pPr>
            <w:r w:rsidRPr="00047C01">
              <w:rPr>
                <w:rFonts w:ascii="Arial Narrow" w:hAnsi="Arial Narrow"/>
                <w:color w:val="000000" w:themeColor="text1"/>
                <w:sz w:val="20"/>
                <w:szCs w:val="20"/>
                <w:lang w:val="en-US"/>
              </w:rPr>
              <w:t xml:space="preserve">Associate professor </w:t>
            </w:r>
            <w:proofErr w:type="spellStart"/>
            <w:r w:rsidRPr="00047C01">
              <w:rPr>
                <w:rFonts w:ascii="Arial Narrow" w:hAnsi="Arial Narrow"/>
                <w:color w:val="000000" w:themeColor="text1"/>
                <w:sz w:val="20"/>
                <w:szCs w:val="20"/>
                <w:lang w:val="en-US"/>
              </w:rPr>
              <w:t>Dragana</w:t>
            </w:r>
            <w:proofErr w:type="spellEnd"/>
            <w:r w:rsidRPr="00047C01">
              <w:rPr>
                <w:rFonts w:ascii="Arial Narrow" w:hAnsi="Arial Narrow"/>
                <w:color w:val="000000" w:themeColor="text1"/>
                <w:sz w:val="20"/>
                <w:szCs w:val="20"/>
                <w:lang w:val="en-US"/>
              </w:rPr>
              <w:t xml:space="preserve"> </w:t>
            </w:r>
            <w:proofErr w:type="spellStart"/>
            <w:r w:rsidRPr="00047C01">
              <w:rPr>
                <w:rFonts w:ascii="Arial Narrow" w:hAnsi="Arial Narrow"/>
                <w:color w:val="000000" w:themeColor="text1"/>
                <w:sz w:val="20"/>
                <w:szCs w:val="20"/>
                <w:lang w:val="en-US"/>
              </w:rPr>
              <w:t>Sokolović</w:t>
            </w:r>
            <w:proofErr w:type="spellEnd"/>
            <w:r w:rsidRPr="00047C01">
              <w:rPr>
                <w:rFonts w:ascii="Arial Narrow" w:hAnsi="Arial Narrow"/>
                <w:color w:val="000000" w:themeColor="text1"/>
                <w:sz w:val="20"/>
                <w:szCs w:val="20"/>
                <w:lang w:val="en-US"/>
              </w:rPr>
              <w:t xml:space="preserve">, PhD, associate professor </w:t>
            </w:r>
            <w:proofErr w:type="spellStart"/>
            <w:r w:rsidRPr="00047C01">
              <w:rPr>
                <w:rFonts w:ascii="Arial Narrow" w:hAnsi="Arial Narrow"/>
                <w:color w:val="000000" w:themeColor="text1"/>
                <w:sz w:val="20"/>
                <w:szCs w:val="20"/>
                <w:lang w:val="en-US"/>
              </w:rPr>
              <w:t>Dragana</w:t>
            </w:r>
            <w:proofErr w:type="spellEnd"/>
            <w:r w:rsidRPr="00047C01">
              <w:rPr>
                <w:rFonts w:ascii="Arial Narrow" w:hAnsi="Arial Narrow"/>
                <w:color w:val="000000" w:themeColor="text1"/>
                <w:sz w:val="20"/>
                <w:szCs w:val="20"/>
                <w:lang w:val="en-US"/>
              </w:rPr>
              <w:t xml:space="preserve"> </w:t>
            </w:r>
            <w:proofErr w:type="spellStart"/>
            <w:r w:rsidRPr="00047C01">
              <w:rPr>
                <w:rFonts w:ascii="Arial Narrow" w:hAnsi="Arial Narrow"/>
                <w:color w:val="000000" w:themeColor="text1"/>
                <w:sz w:val="20"/>
                <w:szCs w:val="20"/>
                <w:lang w:val="en-US"/>
              </w:rPr>
              <w:t>Drakul</w:t>
            </w:r>
            <w:proofErr w:type="spellEnd"/>
            <w:r w:rsidRPr="00047C01">
              <w:rPr>
                <w:rFonts w:ascii="Arial Narrow" w:hAnsi="Arial Narrow"/>
                <w:color w:val="000000" w:themeColor="text1"/>
                <w:sz w:val="20"/>
                <w:szCs w:val="20"/>
                <w:lang w:val="en-US"/>
              </w:rPr>
              <w:t xml:space="preserve">, PhD </w:t>
            </w:r>
          </w:p>
          <w:p w14:paraId="7EAC2DE6" w14:textId="4F7BBD61" w:rsidR="00047C01" w:rsidRPr="00047C01" w:rsidRDefault="00047C01" w:rsidP="00047C01">
            <w:pPr>
              <w:rPr>
                <w:rFonts w:ascii="Arial Narrow" w:hAnsi="Arial Narrow" w:cs="Times New Roman"/>
                <w:color w:val="000000" w:themeColor="text1"/>
                <w:sz w:val="20"/>
                <w:szCs w:val="20"/>
              </w:rPr>
            </w:pPr>
          </w:p>
        </w:tc>
      </w:tr>
      <w:tr w:rsidR="005B3B6D" w:rsidRPr="003A3128" w14:paraId="49A80EE2" w14:textId="77777777" w:rsidTr="00245174">
        <w:tc>
          <w:tcPr>
            <w:tcW w:w="1668" w:type="dxa"/>
            <w:gridSpan w:val="2"/>
            <w:tcBorders>
              <w:bottom w:val="single" w:sz="4" w:space="0" w:color="auto"/>
            </w:tcBorders>
            <w:shd w:val="clear" w:color="auto" w:fill="D9D9D9" w:themeFill="background1" w:themeFillShade="D9"/>
            <w:vAlign w:val="center"/>
          </w:tcPr>
          <w:p w14:paraId="293E9979" w14:textId="11B9770A" w:rsidR="005B3B6D" w:rsidRPr="003A3128" w:rsidRDefault="005B3B6D" w:rsidP="005B3B6D">
            <w:pP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Associate/ - s</w:t>
            </w:r>
          </w:p>
        </w:tc>
        <w:tc>
          <w:tcPr>
            <w:tcW w:w="7939" w:type="dxa"/>
            <w:gridSpan w:val="15"/>
            <w:tcBorders>
              <w:bottom w:val="single" w:sz="4" w:space="0" w:color="auto"/>
            </w:tcBorders>
            <w:vAlign w:val="center"/>
          </w:tcPr>
          <w:p w14:paraId="61926E8D" w14:textId="62730E4C" w:rsidR="005B3B6D" w:rsidRPr="00047C01" w:rsidRDefault="00047C01" w:rsidP="005B3B6D">
            <w:pPr>
              <w:rPr>
                <w:rFonts w:ascii="Arial Narrow" w:hAnsi="Arial Narrow" w:cs="Times New Roman"/>
                <w:color w:val="000000" w:themeColor="text1"/>
                <w:sz w:val="20"/>
                <w:szCs w:val="20"/>
                <w:lang w:val="sr-Latn-CS"/>
              </w:rPr>
            </w:pPr>
            <w:r w:rsidRPr="00047C01">
              <w:rPr>
                <w:rFonts w:ascii="Arial Narrow" w:hAnsi="Arial Narrow" w:cs="Times New Roman"/>
                <w:color w:val="000000" w:themeColor="text1"/>
                <w:sz w:val="20"/>
                <w:szCs w:val="20"/>
                <w:lang w:val="sr-Latn-CS"/>
              </w:rPr>
              <w:t xml:space="preserve">Senior assistant </w:t>
            </w:r>
            <w:r w:rsidR="005B3B6D" w:rsidRPr="00047C01">
              <w:rPr>
                <w:rFonts w:ascii="Arial Narrow" w:hAnsi="Arial Narrow" w:cs="Times New Roman"/>
                <w:color w:val="000000" w:themeColor="text1"/>
                <w:sz w:val="20"/>
                <w:szCs w:val="20"/>
                <w:lang w:val="sr-Latn-CS"/>
              </w:rPr>
              <w:t>Milica Radanović</w:t>
            </w:r>
          </w:p>
        </w:tc>
      </w:tr>
      <w:tr w:rsidR="005B3B6D" w:rsidRPr="003A3128" w14:paraId="4C7C619F" w14:textId="77777777" w:rsidTr="00245174">
        <w:tc>
          <w:tcPr>
            <w:tcW w:w="3794" w:type="dxa"/>
            <w:gridSpan w:val="7"/>
            <w:tcBorders>
              <w:bottom w:val="single" w:sz="4" w:space="0" w:color="auto"/>
            </w:tcBorders>
            <w:shd w:val="clear" w:color="auto" w:fill="D9D9D9" w:themeFill="background1" w:themeFillShade="D9"/>
            <w:vAlign w:val="center"/>
          </w:tcPr>
          <w:p w14:paraId="4F4FD103" w14:textId="5CA95DEE" w:rsidR="005B3B6D" w:rsidRPr="003A3128" w:rsidRDefault="005B3B6D" w:rsidP="005B3B6D">
            <w:pPr>
              <w:jc w:val="center"/>
              <w:rPr>
                <w:rFonts w:ascii="Arial Narrow" w:eastAsia="Calibri" w:hAnsi="Arial Narrow" w:cs="Times New Roman"/>
                <w:b/>
                <w:color w:val="000000" w:themeColor="text1"/>
                <w:sz w:val="20"/>
                <w:szCs w:val="20"/>
                <w:lang w:val="sr-Cyrl-BA"/>
              </w:rPr>
            </w:pPr>
            <w:r w:rsidRPr="008603B7">
              <w:rPr>
                <w:rFonts w:ascii="Times New Roman" w:hAnsi="Times New Roman" w:cs="Times New Roman"/>
                <w:b/>
                <w:sz w:val="18"/>
                <w:szCs w:val="18"/>
                <w:lang w:val="en-US"/>
              </w:rPr>
              <w:t>Number of lectures/ teaching workload (per week)</w:t>
            </w:r>
          </w:p>
        </w:tc>
        <w:tc>
          <w:tcPr>
            <w:tcW w:w="3824" w:type="dxa"/>
            <w:gridSpan w:val="8"/>
            <w:tcBorders>
              <w:bottom w:val="single" w:sz="4" w:space="0" w:color="auto"/>
            </w:tcBorders>
            <w:shd w:val="clear" w:color="auto" w:fill="D9D9D9" w:themeFill="background1" w:themeFillShade="D9"/>
            <w:vAlign w:val="center"/>
          </w:tcPr>
          <w:p w14:paraId="5FA8157A" w14:textId="77777777" w:rsidR="005B3B6D" w:rsidRPr="008603B7" w:rsidRDefault="005B3B6D" w:rsidP="005B3B6D">
            <w:pPr>
              <w:contextualSpacing/>
              <w:jc w:val="center"/>
              <w:rPr>
                <w:rFonts w:ascii="Times New Roman" w:hAnsi="Times New Roman" w:cs="Times New Roman"/>
                <w:b/>
                <w:sz w:val="18"/>
                <w:szCs w:val="18"/>
                <w:lang w:val="en-US"/>
              </w:rPr>
            </w:pPr>
            <w:r w:rsidRPr="008603B7">
              <w:rPr>
                <w:rFonts w:ascii="Times New Roman" w:hAnsi="Times New Roman" w:cs="Times New Roman"/>
                <w:b/>
                <w:sz w:val="18"/>
                <w:szCs w:val="18"/>
                <w:lang w:val="en-US"/>
              </w:rPr>
              <w:t>Individual student workload</w:t>
            </w:r>
          </w:p>
          <w:p w14:paraId="441242EC" w14:textId="4E4CC6FB" w:rsidR="005B3B6D" w:rsidRPr="003A3128" w:rsidRDefault="005B3B6D" w:rsidP="005B3B6D">
            <w:pPr>
              <w:jc w:val="center"/>
              <w:rPr>
                <w:rFonts w:ascii="Arial Narrow" w:eastAsia="Calibri" w:hAnsi="Arial Narrow" w:cs="Times New Roman"/>
                <w:b/>
                <w:color w:val="000000" w:themeColor="text1"/>
                <w:sz w:val="20"/>
                <w:szCs w:val="20"/>
                <w:lang w:val="sr-Cyrl-BA"/>
              </w:rPr>
            </w:pPr>
            <w:r w:rsidRPr="008603B7">
              <w:rPr>
                <w:rFonts w:ascii="Times New Roman" w:hAnsi="Times New Roman" w:cs="Times New Roman"/>
                <w:b/>
                <w:sz w:val="18"/>
                <w:szCs w:val="18"/>
                <w:lang w:val="en-US"/>
              </w:rPr>
              <w:t xml:space="preserve"> (in hours per semester)</w:t>
            </w:r>
          </w:p>
        </w:tc>
        <w:tc>
          <w:tcPr>
            <w:tcW w:w="1989" w:type="dxa"/>
            <w:gridSpan w:val="2"/>
            <w:tcBorders>
              <w:bottom w:val="single" w:sz="4" w:space="0" w:color="auto"/>
            </w:tcBorders>
            <w:shd w:val="clear" w:color="auto" w:fill="D9D9D9" w:themeFill="background1" w:themeFillShade="D9"/>
            <w:vAlign w:val="center"/>
          </w:tcPr>
          <w:p w14:paraId="0B9E219E" w14:textId="45240DBE" w:rsidR="005B3B6D" w:rsidRPr="003A3128" w:rsidRDefault="005B3B6D" w:rsidP="005B3B6D">
            <w:pPr>
              <w:rPr>
                <w:rFonts w:ascii="Arial Narrow" w:eastAsia="Calibri" w:hAnsi="Arial Narrow" w:cs="Times New Roman"/>
                <w:b/>
                <w:color w:val="000000" w:themeColor="text1"/>
                <w:sz w:val="20"/>
                <w:szCs w:val="20"/>
                <w:lang w:val="sr-Cyrl-BA"/>
              </w:rPr>
            </w:pPr>
            <w:r w:rsidRPr="008603B7">
              <w:rPr>
                <w:rFonts w:ascii="Times New Roman" w:hAnsi="Times New Roman" w:cs="Times New Roman"/>
                <w:b/>
                <w:sz w:val="18"/>
                <w:szCs w:val="18"/>
              </w:rPr>
              <w:t>Coefficient of student workload</w:t>
            </w:r>
            <w:r w:rsidRPr="008603B7">
              <w:rPr>
                <w:rFonts w:ascii="Times New Roman" w:hAnsi="Times New Roman" w:cs="Times New Roman"/>
                <w:b/>
                <w:sz w:val="18"/>
                <w:szCs w:val="18"/>
                <w:lang w:val="sr-Cyrl-BA"/>
              </w:rPr>
              <w:t xml:space="preserve"> </w:t>
            </w:r>
            <w:r w:rsidRPr="008603B7">
              <w:rPr>
                <w:rFonts w:ascii="Times New Roman" w:hAnsi="Times New Roman" w:cs="Times New Roman"/>
                <w:b/>
                <w:sz w:val="18"/>
                <w:szCs w:val="18"/>
                <w:lang w:val="sr-Latn-BA"/>
              </w:rPr>
              <w:t>S</w:t>
            </w:r>
            <w:r w:rsidRPr="008603B7">
              <w:rPr>
                <w:rFonts w:ascii="Times New Roman" w:hAnsi="Times New Roman" w:cs="Times New Roman"/>
                <w:b/>
                <w:sz w:val="18"/>
                <w:szCs w:val="18"/>
                <w:vertAlign w:val="subscript"/>
                <w:lang w:val="sr-Latn-BA"/>
              </w:rPr>
              <w:t>o</w:t>
            </w:r>
            <w:r w:rsidRPr="008603B7">
              <w:rPr>
                <w:rFonts w:ascii="Times New Roman" w:hAnsi="Times New Roman" w:cs="Times New Roman"/>
                <w:b/>
                <w:sz w:val="18"/>
                <w:szCs w:val="18"/>
                <w:vertAlign w:val="superscript"/>
                <w:lang w:val="sr-Latn-BA"/>
              </w:rPr>
              <w:footnoteReference w:id="1"/>
            </w:r>
          </w:p>
        </w:tc>
      </w:tr>
      <w:tr w:rsidR="005B3B6D" w:rsidRPr="003A3128" w14:paraId="3AECACB3" w14:textId="77777777" w:rsidTr="00245174">
        <w:tc>
          <w:tcPr>
            <w:tcW w:w="1242" w:type="dxa"/>
            <w:shd w:val="clear" w:color="auto" w:fill="F2F2F2" w:themeFill="background1" w:themeFillShade="F2"/>
            <w:vAlign w:val="center"/>
          </w:tcPr>
          <w:p w14:paraId="5AB9E594" w14:textId="2CF26E19" w:rsidR="005B3B6D" w:rsidRPr="003A3128" w:rsidRDefault="005B3B6D" w:rsidP="005B3B6D">
            <w:pPr>
              <w:jc w:val="center"/>
              <w:rPr>
                <w:rFonts w:ascii="Arial Narrow" w:eastAsia="Calibri" w:hAnsi="Arial Narrow" w:cs="Times New Roman"/>
                <w:b/>
                <w:color w:val="000000" w:themeColor="text1"/>
                <w:sz w:val="20"/>
                <w:szCs w:val="20"/>
                <w:lang w:val="sr-Cyrl-BA"/>
              </w:rPr>
            </w:pPr>
            <w:r w:rsidRPr="008603B7">
              <w:rPr>
                <w:rFonts w:ascii="Times New Roman" w:eastAsia="Calibri" w:hAnsi="Times New Roman" w:cs="Times New Roman"/>
                <w:b/>
                <w:color w:val="000000" w:themeColor="text1"/>
                <w:sz w:val="18"/>
                <w:szCs w:val="18"/>
                <w:lang w:val="en-GB"/>
              </w:rPr>
              <w:t>L</w:t>
            </w:r>
          </w:p>
        </w:tc>
        <w:tc>
          <w:tcPr>
            <w:tcW w:w="1276" w:type="dxa"/>
            <w:gridSpan w:val="4"/>
            <w:shd w:val="clear" w:color="auto" w:fill="F2F2F2" w:themeFill="background1" w:themeFillShade="F2"/>
            <w:vAlign w:val="center"/>
          </w:tcPr>
          <w:p w14:paraId="28A95049" w14:textId="3DDA2AF8" w:rsidR="005B3B6D" w:rsidRPr="003A3128" w:rsidRDefault="005B3B6D" w:rsidP="005B3B6D">
            <w:pPr>
              <w:jc w:val="center"/>
              <w:rPr>
                <w:rFonts w:ascii="Arial Narrow" w:eastAsia="Calibri" w:hAnsi="Arial Narrow" w:cs="Times New Roman"/>
                <w:b/>
                <w:color w:val="000000" w:themeColor="text1"/>
                <w:sz w:val="20"/>
                <w:szCs w:val="20"/>
                <w:lang w:val="sr-Cyrl-BA"/>
              </w:rPr>
            </w:pPr>
            <w:r w:rsidRPr="008603B7">
              <w:rPr>
                <w:rFonts w:ascii="Times New Roman" w:eastAsia="Calibri" w:hAnsi="Times New Roman" w:cs="Times New Roman"/>
                <w:b/>
                <w:color w:val="000000" w:themeColor="text1"/>
                <w:sz w:val="18"/>
                <w:szCs w:val="18"/>
                <w:lang w:val="en-GB"/>
              </w:rPr>
              <w:t>E</w:t>
            </w:r>
          </w:p>
        </w:tc>
        <w:tc>
          <w:tcPr>
            <w:tcW w:w="1276" w:type="dxa"/>
            <w:gridSpan w:val="2"/>
            <w:shd w:val="clear" w:color="auto" w:fill="F2F2F2" w:themeFill="background1" w:themeFillShade="F2"/>
            <w:vAlign w:val="center"/>
          </w:tcPr>
          <w:p w14:paraId="0279BB1E" w14:textId="5DDBCD5C" w:rsidR="005B3B6D" w:rsidRPr="003A3128" w:rsidRDefault="005B3B6D" w:rsidP="005B3B6D">
            <w:pPr>
              <w:jc w:val="center"/>
              <w:rPr>
                <w:rFonts w:ascii="Arial Narrow" w:eastAsia="Calibri" w:hAnsi="Arial Narrow" w:cs="Times New Roman"/>
                <w:b/>
                <w:color w:val="000000" w:themeColor="text1"/>
                <w:sz w:val="20"/>
                <w:szCs w:val="20"/>
                <w:lang w:val="sr-Latn-CS"/>
              </w:rPr>
            </w:pPr>
            <w:r w:rsidRPr="008603B7">
              <w:rPr>
                <w:rFonts w:ascii="Times New Roman" w:eastAsia="Calibri" w:hAnsi="Times New Roman" w:cs="Times New Roman"/>
                <w:b/>
                <w:color w:val="000000" w:themeColor="text1"/>
                <w:sz w:val="18"/>
                <w:szCs w:val="18"/>
                <w:lang w:val="en-GB"/>
              </w:rPr>
              <w:t>SP</w:t>
            </w:r>
          </w:p>
        </w:tc>
        <w:tc>
          <w:tcPr>
            <w:tcW w:w="1276" w:type="dxa"/>
            <w:gridSpan w:val="3"/>
            <w:shd w:val="clear" w:color="auto" w:fill="F2F2F2" w:themeFill="background1" w:themeFillShade="F2"/>
            <w:vAlign w:val="center"/>
          </w:tcPr>
          <w:p w14:paraId="130C2307" w14:textId="55A06875" w:rsidR="005B3B6D" w:rsidRPr="003A3128" w:rsidRDefault="005B3B6D" w:rsidP="005B3B6D">
            <w:pPr>
              <w:jc w:val="center"/>
              <w:rPr>
                <w:rFonts w:ascii="Arial Narrow" w:eastAsia="Calibri" w:hAnsi="Arial Narrow" w:cs="Times New Roman"/>
                <w:b/>
                <w:color w:val="000000" w:themeColor="text1"/>
                <w:sz w:val="20"/>
                <w:szCs w:val="20"/>
                <w:lang w:val="sr-Cyrl-BA"/>
              </w:rPr>
            </w:pPr>
            <w:r w:rsidRPr="008603B7">
              <w:rPr>
                <w:rFonts w:ascii="Times New Roman" w:eastAsia="Calibri" w:hAnsi="Times New Roman" w:cs="Times New Roman"/>
                <w:b/>
                <w:color w:val="000000" w:themeColor="text1"/>
                <w:sz w:val="18"/>
                <w:szCs w:val="18"/>
                <w:lang w:val="en-GB"/>
              </w:rPr>
              <w:t>L</w:t>
            </w:r>
          </w:p>
        </w:tc>
        <w:tc>
          <w:tcPr>
            <w:tcW w:w="1275" w:type="dxa"/>
            <w:gridSpan w:val="2"/>
            <w:shd w:val="clear" w:color="auto" w:fill="F2F2F2" w:themeFill="background1" w:themeFillShade="F2"/>
            <w:vAlign w:val="center"/>
          </w:tcPr>
          <w:p w14:paraId="53A86EB4" w14:textId="36219262" w:rsidR="005B3B6D" w:rsidRPr="003A3128" w:rsidRDefault="005B3B6D" w:rsidP="005B3B6D">
            <w:pPr>
              <w:jc w:val="center"/>
              <w:rPr>
                <w:rFonts w:ascii="Arial Narrow" w:eastAsia="Calibri" w:hAnsi="Arial Narrow" w:cs="Times New Roman"/>
                <w:b/>
                <w:color w:val="000000" w:themeColor="text1"/>
                <w:sz w:val="20"/>
                <w:szCs w:val="20"/>
                <w:lang w:val="sr-Cyrl-BA"/>
              </w:rPr>
            </w:pPr>
            <w:r w:rsidRPr="008603B7">
              <w:rPr>
                <w:rFonts w:ascii="Times New Roman" w:eastAsia="Calibri" w:hAnsi="Times New Roman" w:cs="Times New Roman"/>
                <w:b/>
                <w:color w:val="000000" w:themeColor="text1"/>
                <w:sz w:val="18"/>
                <w:szCs w:val="18"/>
                <w:lang w:val="en-GB"/>
              </w:rPr>
              <w:t>E</w:t>
            </w:r>
          </w:p>
        </w:tc>
        <w:tc>
          <w:tcPr>
            <w:tcW w:w="1273" w:type="dxa"/>
            <w:gridSpan w:val="3"/>
            <w:shd w:val="clear" w:color="auto" w:fill="F2F2F2" w:themeFill="background1" w:themeFillShade="F2"/>
            <w:vAlign w:val="center"/>
          </w:tcPr>
          <w:p w14:paraId="7FABD1D8" w14:textId="42F31834" w:rsidR="005B3B6D" w:rsidRPr="003A3128" w:rsidRDefault="005B3B6D" w:rsidP="005B3B6D">
            <w:pPr>
              <w:jc w:val="center"/>
              <w:rPr>
                <w:rFonts w:ascii="Arial Narrow" w:eastAsia="Calibri" w:hAnsi="Arial Narrow" w:cs="Times New Roman"/>
                <w:b/>
                <w:color w:val="000000" w:themeColor="text1"/>
                <w:sz w:val="20"/>
                <w:szCs w:val="20"/>
                <w:lang w:val="sr-Latn-CS"/>
              </w:rPr>
            </w:pPr>
            <w:r w:rsidRPr="008603B7">
              <w:rPr>
                <w:rFonts w:ascii="Times New Roman" w:eastAsia="Calibri" w:hAnsi="Times New Roman" w:cs="Times New Roman"/>
                <w:b/>
                <w:color w:val="000000" w:themeColor="text1"/>
                <w:sz w:val="18"/>
                <w:szCs w:val="18"/>
                <w:lang w:val="en-GB"/>
              </w:rPr>
              <w:t>SP</w:t>
            </w:r>
          </w:p>
        </w:tc>
        <w:tc>
          <w:tcPr>
            <w:tcW w:w="1989" w:type="dxa"/>
            <w:gridSpan w:val="2"/>
            <w:shd w:val="clear" w:color="auto" w:fill="F2F2F2" w:themeFill="background1" w:themeFillShade="F2"/>
            <w:vAlign w:val="center"/>
          </w:tcPr>
          <w:p w14:paraId="7D9E3F3B" w14:textId="77777777" w:rsidR="005B3B6D" w:rsidRPr="003A3128" w:rsidRDefault="005B3B6D" w:rsidP="005B3B6D">
            <w:pPr>
              <w:jc w:val="center"/>
              <w:rPr>
                <w:rFonts w:ascii="Arial Narrow" w:eastAsia="Calibri" w:hAnsi="Arial Narrow" w:cs="Times New Roman"/>
                <w:b/>
                <w:color w:val="000000" w:themeColor="text1"/>
                <w:sz w:val="20"/>
                <w:szCs w:val="20"/>
                <w:lang w:val="sr-Cyrl-BA"/>
              </w:rPr>
            </w:pPr>
            <w:r w:rsidRPr="003A3128">
              <w:rPr>
                <w:rFonts w:ascii="Arial Narrow" w:eastAsia="Calibri" w:hAnsi="Arial Narrow" w:cs="Times New Roman"/>
                <w:b/>
                <w:color w:val="000000" w:themeColor="text1"/>
                <w:sz w:val="20"/>
                <w:szCs w:val="20"/>
                <w:lang w:val="sr-Latn-BA"/>
              </w:rPr>
              <w:t>S</w:t>
            </w:r>
            <w:r w:rsidRPr="003A3128">
              <w:rPr>
                <w:rFonts w:ascii="Arial Narrow" w:eastAsia="Calibri" w:hAnsi="Arial Narrow" w:cs="Times New Roman"/>
                <w:b/>
                <w:color w:val="000000" w:themeColor="text1"/>
                <w:sz w:val="20"/>
                <w:szCs w:val="20"/>
                <w:vertAlign w:val="subscript"/>
                <w:lang w:val="sr-Latn-BA"/>
              </w:rPr>
              <w:t>o</w:t>
            </w:r>
          </w:p>
        </w:tc>
      </w:tr>
      <w:tr w:rsidR="003A3128" w:rsidRPr="003A3128" w14:paraId="783FC3AF" w14:textId="77777777" w:rsidTr="00245174">
        <w:tc>
          <w:tcPr>
            <w:tcW w:w="1242" w:type="dxa"/>
            <w:shd w:val="clear" w:color="auto" w:fill="auto"/>
            <w:vAlign w:val="center"/>
          </w:tcPr>
          <w:p w14:paraId="24AA2905" w14:textId="77777777" w:rsidR="003A3128" w:rsidRPr="003A3128" w:rsidRDefault="003A3128" w:rsidP="00245174">
            <w:pPr>
              <w:jc w:val="center"/>
              <w:rPr>
                <w:rFonts w:ascii="Arial Narrow" w:eastAsia="Calibri" w:hAnsi="Arial Narrow" w:cs="Times New Roman"/>
                <w:color w:val="000000" w:themeColor="text1"/>
                <w:sz w:val="20"/>
                <w:szCs w:val="20"/>
                <w:lang w:val="sr-Latn-BA"/>
              </w:rPr>
            </w:pPr>
            <w:r w:rsidRPr="003A3128">
              <w:rPr>
                <w:rFonts w:ascii="Arial Narrow" w:eastAsia="Calibri" w:hAnsi="Arial Narrow" w:cs="Times New Roman"/>
                <w:color w:val="000000" w:themeColor="text1"/>
                <w:sz w:val="20"/>
                <w:szCs w:val="20"/>
                <w:lang w:val="sr-Latn-BA"/>
              </w:rPr>
              <w:t>2</w:t>
            </w:r>
          </w:p>
        </w:tc>
        <w:tc>
          <w:tcPr>
            <w:tcW w:w="1276" w:type="dxa"/>
            <w:gridSpan w:val="4"/>
            <w:shd w:val="clear" w:color="auto" w:fill="auto"/>
            <w:vAlign w:val="center"/>
          </w:tcPr>
          <w:p w14:paraId="2EF45E10" w14:textId="77777777" w:rsidR="003A3128" w:rsidRPr="003A3128" w:rsidRDefault="003A3128" w:rsidP="00245174">
            <w:pPr>
              <w:jc w:val="center"/>
              <w:rPr>
                <w:rFonts w:ascii="Arial Narrow" w:eastAsia="Calibri" w:hAnsi="Arial Narrow" w:cs="Times New Roman"/>
                <w:color w:val="000000" w:themeColor="text1"/>
                <w:sz w:val="20"/>
                <w:szCs w:val="20"/>
                <w:lang w:val="sr-Latn-BA"/>
              </w:rPr>
            </w:pPr>
            <w:r w:rsidRPr="003A3128">
              <w:rPr>
                <w:rFonts w:ascii="Arial Narrow" w:eastAsia="Calibri" w:hAnsi="Arial Narrow" w:cs="Times New Roman"/>
                <w:color w:val="000000" w:themeColor="text1"/>
                <w:sz w:val="20"/>
                <w:szCs w:val="20"/>
                <w:lang w:val="sr-Latn-BA"/>
              </w:rPr>
              <w:t>1</w:t>
            </w:r>
          </w:p>
        </w:tc>
        <w:tc>
          <w:tcPr>
            <w:tcW w:w="1276" w:type="dxa"/>
            <w:gridSpan w:val="2"/>
            <w:shd w:val="clear" w:color="auto" w:fill="auto"/>
            <w:vAlign w:val="center"/>
          </w:tcPr>
          <w:p w14:paraId="6FC95CF5" w14:textId="77777777" w:rsidR="003A3128" w:rsidRPr="003A3128" w:rsidRDefault="003A3128" w:rsidP="00245174">
            <w:pPr>
              <w:jc w:val="center"/>
              <w:rPr>
                <w:rFonts w:ascii="Arial Narrow" w:eastAsia="Calibri" w:hAnsi="Arial Narrow" w:cs="Times New Roman"/>
                <w:color w:val="000000" w:themeColor="text1"/>
                <w:sz w:val="20"/>
                <w:szCs w:val="20"/>
                <w:lang w:val="sr-Latn-BA"/>
              </w:rPr>
            </w:pPr>
            <w:r w:rsidRPr="003A3128">
              <w:rPr>
                <w:rFonts w:ascii="Arial Narrow" w:eastAsia="Calibri" w:hAnsi="Arial Narrow" w:cs="Times New Roman"/>
                <w:color w:val="000000" w:themeColor="text1"/>
                <w:sz w:val="20"/>
                <w:szCs w:val="20"/>
                <w:lang w:val="sr-Latn-BA"/>
              </w:rPr>
              <w:t>0</w:t>
            </w:r>
          </w:p>
        </w:tc>
        <w:tc>
          <w:tcPr>
            <w:tcW w:w="1276" w:type="dxa"/>
            <w:gridSpan w:val="3"/>
            <w:shd w:val="clear" w:color="auto" w:fill="auto"/>
            <w:vAlign w:val="center"/>
          </w:tcPr>
          <w:p w14:paraId="1B001858" w14:textId="77777777" w:rsidR="003A3128" w:rsidRPr="003A3128" w:rsidRDefault="003A3128" w:rsidP="00245174">
            <w:pPr>
              <w:jc w:val="center"/>
              <w:rPr>
                <w:rFonts w:ascii="Arial Narrow" w:eastAsia="Calibri" w:hAnsi="Arial Narrow" w:cs="Times New Roman"/>
                <w:color w:val="000000" w:themeColor="text1"/>
                <w:sz w:val="20"/>
                <w:szCs w:val="20"/>
                <w:lang w:val="sr-Latn-BA"/>
              </w:rPr>
            </w:pPr>
            <w:r w:rsidRPr="003A3128">
              <w:rPr>
                <w:rFonts w:ascii="Arial Narrow" w:eastAsia="Calibri" w:hAnsi="Arial Narrow" w:cs="Times New Roman"/>
                <w:color w:val="000000" w:themeColor="text1"/>
                <w:sz w:val="20"/>
                <w:szCs w:val="20"/>
                <w:lang w:val="sr-Latn-BA"/>
              </w:rPr>
              <w:t>90</w:t>
            </w:r>
          </w:p>
        </w:tc>
        <w:tc>
          <w:tcPr>
            <w:tcW w:w="1275" w:type="dxa"/>
            <w:gridSpan w:val="2"/>
            <w:shd w:val="clear" w:color="auto" w:fill="auto"/>
            <w:vAlign w:val="center"/>
          </w:tcPr>
          <w:p w14:paraId="6DB2ACD3" w14:textId="77777777" w:rsidR="003A3128" w:rsidRPr="003A3128" w:rsidRDefault="003A3128" w:rsidP="00245174">
            <w:pPr>
              <w:jc w:val="center"/>
              <w:rPr>
                <w:rFonts w:ascii="Arial Narrow" w:eastAsia="Calibri" w:hAnsi="Arial Narrow" w:cs="Times New Roman"/>
                <w:color w:val="000000" w:themeColor="text1"/>
                <w:sz w:val="20"/>
                <w:szCs w:val="20"/>
                <w:lang w:val="sr-Latn-BA"/>
              </w:rPr>
            </w:pPr>
            <w:r w:rsidRPr="003A3128">
              <w:rPr>
                <w:rFonts w:ascii="Arial Narrow" w:eastAsia="Calibri" w:hAnsi="Arial Narrow" w:cs="Times New Roman"/>
                <w:color w:val="000000" w:themeColor="text1"/>
                <w:sz w:val="20"/>
                <w:szCs w:val="20"/>
                <w:lang w:val="sr-Latn-BA"/>
              </w:rPr>
              <w:t>45</w:t>
            </w:r>
          </w:p>
        </w:tc>
        <w:tc>
          <w:tcPr>
            <w:tcW w:w="1273" w:type="dxa"/>
            <w:gridSpan w:val="3"/>
            <w:shd w:val="clear" w:color="auto" w:fill="auto"/>
            <w:vAlign w:val="center"/>
          </w:tcPr>
          <w:p w14:paraId="7A9D1814" w14:textId="77777777" w:rsidR="003A3128" w:rsidRPr="003A3128" w:rsidRDefault="003A3128" w:rsidP="00245174">
            <w:pPr>
              <w:jc w:val="center"/>
              <w:rPr>
                <w:rFonts w:ascii="Arial Narrow" w:eastAsia="Calibri" w:hAnsi="Arial Narrow" w:cs="Times New Roman"/>
                <w:color w:val="000000" w:themeColor="text1"/>
                <w:sz w:val="20"/>
                <w:szCs w:val="20"/>
                <w:lang w:val="sr-Latn-BA"/>
              </w:rPr>
            </w:pPr>
            <w:r w:rsidRPr="003A3128">
              <w:rPr>
                <w:rFonts w:ascii="Arial Narrow" w:eastAsia="Calibri" w:hAnsi="Arial Narrow" w:cs="Times New Roman"/>
                <w:color w:val="000000" w:themeColor="text1"/>
                <w:sz w:val="20"/>
                <w:szCs w:val="20"/>
                <w:lang w:val="sr-Latn-BA"/>
              </w:rPr>
              <w:t>0</w:t>
            </w:r>
          </w:p>
        </w:tc>
        <w:tc>
          <w:tcPr>
            <w:tcW w:w="1989" w:type="dxa"/>
            <w:gridSpan w:val="2"/>
            <w:shd w:val="clear" w:color="auto" w:fill="auto"/>
            <w:vAlign w:val="center"/>
          </w:tcPr>
          <w:p w14:paraId="77B1BA2A" w14:textId="77777777" w:rsidR="003A3128" w:rsidRPr="003A3128" w:rsidRDefault="003A3128" w:rsidP="00245174">
            <w:pPr>
              <w:jc w:val="center"/>
              <w:rPr>
                <w:rFonts w:ascii="Arial Narrow" w:eastAsia="Calibri" w:hAnsi="Arial Narrow" w:cs="Times New Roman"/>
                <w:color w:val="000000" w:themeColor="text1"/>
                <w:sz w:val="20"/>
                <w:szCs w:val="20"/>
                <w:lang w:val="sr-Latn-BA"/>
              </w:rPr>
            </w:pPr>
            <w:r w:rsidRPr="003A3128">
              <w:rPr>
                <w:rFonts w:ascii="Arial Narrow" w:eastAsia="Calibri" w:hAnsi="Arial Narrow" w:cs="Times New Roman"/>
                <w:color w:val="000000" w:themeColor="text1"/>
                <w:sz w:val="20"/>
                <w:szCs w:val="20"/>
                <w:lang w:val="sr-Latn-BA"/>
              </w:rPr>
              <w:t>3</w:t>
            </w:r>
          </w:p>
        </w:tc>
      </w:tr>
      <w:tr w:rsidR="003A3128" w:rsidRPr="003A3128" w14:paraId="53D5E301" w14:textId="77777777" w:rsidTr="00245174">
        <w:tc>
          <w:tcPr>
            <w:tcW w:w="4614" w:type="dxa"/>
            <w:gridSpan w:val="8"/>
            <w:tcBorders>
              <w:bottom w:val="single" w:sz="4" w:space="0" w:color="auto"/>
            </w:tcBorders>
            <w:shd w:val="clear" w:color="auto" w:fill="auto"/>
            <w:vAlign w:val="center"/>
          </w:tcPr>
          <w:p w14:paraId="40E82214" w14:textId="7425FD23" w:rsidR="003A3128" w:rsidRPr="003A3128" w:rsidRDefault="005B3B6D" w:rsidP="00245174">
            <w:pPr>
              <w:jc w:val="center"/>
              <w:rPr>
                <w:rFonts w:ascii="Arial Narrow" w:eastAsia="Calibri" w:hAnsi="Arial Narrow" w:cs="Times New Roman"/>
                <w:color w:val="000000" w:themeColor="text1"/>
                <w:sz w:val="20"/>
                <w:szCs w:val="20"/>
                <w:lang w:val="sr-Latn-CS"/>
              </w:rPr>
            </w:pPr>
            <w:r w:rsidRPr="008603B7">
              <w:rPr>
                <w:rFonts w:ascii="Times New Roman" w:hAnsi="Times New Roman" w:cs="Times New Roman"/>
                <w:sz w:val="18"/>
                <w:szCs w:val="18"/>
                <w:lang w:val="en-US"/>
              </w:rPr>
              <w:t xml:space="preserve">total teaching workload (in hours, per semester) </w:t>
            </w:r>
            <w:r w:rsidR="003A3128" w:rsidRPr="003A3128">
              <w:rPr>
                <w:rFonts w:ascii="Arial Narrow" w:eastAsia="Calibri" w:hAnsi="Arial Narrow" w:cs="Times New Roman"/>
                <w:color w:val="000000" w:themeColor="text1"/>
                <w:sz w:val="20"/>
                <w:szCs w:val="20"/>
                <w:lang w:val="sr-Latn-BA"/>
              </w:rPr>
              <w:t>30</w:t>
            </w:r>
            <w:r w:rsidR="003A3128" w:rsidRPr="003A3128">
              <w:rPr>
                <w:rFonts w:ascii="Arial Narrow" w:eastAsia="Calibri" w:hAnsi="Arial Narrow" w:cs="Times New Roman"/>
                <w:color w:val="000000" w:themeColor="text1"/>
                <w:sz w:val="20"/>
                <w:szCs w:val="20"/>
                <w:lang w:val="sr-Cyrl-CS"/>
              </w:rPr>
              <w:t>+</w:t>
            </w:r>
            <w:r w:rsidR="003A3128" w:rsidRPr="003A3128">
              <w:rPr>
                <w:rFonts w:ascii="Arial Narrow" w:eastAsia="Calibri" w:hAnsi="Arial Narrow" w:cs="Times New Roman"/>
                <w:color w:val="000000" w:themeColor="text1"/>
                <w:sz w:val="20"/>
                <w:szCs w:val="20"/>
                <w:lang w:val="sr-Latn-CS"/>
              </w:rPr>
              <w:t>15+0</w:t>
            </w:r>
            <w:r w:rsidR="003A3128" w:rsidRPr="003A3128">
              <w:rPr>
                <w:rFonts w:ascii="Arial Narrow" w:eastAsia="Calibri" w:hAnsi="Arial Narrow" w:cs="Times New Roman"/>
                <w:color w:val="000000" w:themeColor="text1"/>
                <w:sz w:val="20"/>
                <w:szCs w:val="20"/>
                <w:lang w:val="sr-Cyrl-CS"/>
              </w:rPr>
              <w:t>=</w:t>
            </w:r>
            <w:r w:rsidR="003A3128" w:rsidRPr="003A3128">
              <w:rPr>
                <w:rFonts w:ascii="Arial Narrow" w:eastAsia="Calibri" w:hAnsi="Arial Narrow" w:cs="Times New Roman"/>
                <w:color w:val="000000" w:themeColor="text1"/>
                <w:sz w:val="20"/>
                <w:szCs w:val="20"/>
                <w:lang w:val="sr-Latn-CS"/>
              </w:rPr>
              <w:t>45</w:t>
            </w:r>
          </w:p>
        </w:tc>
        <w:tc>
          <w:tcPr>
            <w:tcW w:w="4993" w:type="dxa"/>
            <w:gridSpan w:val="9"/>
            <w:tcBorders>
              <w:bottom w:val="single" w:sz="4" w:space="0" w:color="auto"/>
            </w:tcBorders>
            <w:shd w:val="clear" w:color="auto" w:fill="auto"/>
            <w:vAlign w:val="center"/>
          </w:tcPr>
          <w:p w14:paraId="6930C68D" w14:textId="77777777" w:rsidR="005B3B6D" w:rsidRPr="008603B7" w:rsidRDefault="005B3B6D" w:rsidP="005B3B6D">
            <w:pPr>
              <w:jc w:val="center"/>
              <w:rPr>
                <w:rFonts w:ascii="Times New Roman" w:hAnsi="Times New Roman" w:cs="Times New Roman"/>
                <w:sz w:val="18"/>
                <w:szCs w:val="18"/>
                <w:lang w:val="en-US"/>
              </w:rPr>
            </w:pPr>
            <w:r w:rsidRPr="008603B7">
              <w:rPr>
                <w:rFonts w:ascii="Times New Roman" w:hAnsi="Times New Roman" w:cs="Times New Roman"/>
                <w:sz w:val="18"/>
                <w:szCs w:val="18"/>
                <w:lang w:val="en-US"/>
              </w:rPr>
              <w:t>total student workload (in hours, per semester)</w:t>
            </w:r>
          </w:p>
          <w:p w14:paraId="01C3E932" w14:textId="77777777" w:rsidR="003A3128" w:rsidRPr="003A3128" w:rsidRDefault="003A3128" w:rsidP="00245174">
            <w:pPr>
              <w:jc w:val="center"/>
              <w:rPr>
                <w:rFonts w:ascii="Arial Narrow" w:eastAsia="Calibri" w:hAnsi="Arial Narrow" w:cs="Times New Roman"/>
                <w:color w:val="000000" w:themeColor="text1"/>
                <w:sz w:val="20"/>
                <w:szCs w:val="20"/>
                <w:lang w:val="sr-Latn-BA"/>
              </w:rPr>
            </w:pPr>
            <w:r w:rsidRPr="003A3128">
              <w:rPr>
                <w:rFonts w:ascii="Arial Narrow" w:eastAsia="Calibri" w:hAnsi="Arial Narrow" w:cs="Times New Roman"/>
                <w:color w:val="000000" w:themeColor="text1"/>
                <w:sz w:val="20"/>
                <w:szCs w:val="20"/>
                <w:lang w:val="sr-Latn-BA"/>
              </w:rPr>
              <w:t>90+45+0</w:t>
            </w:r>
            <w:r w:rsidRPr="003A3128">
              <w:rPr>
                <w:rFonts w:ascii="Arial Narrow" w:eastAsia="Calibri" w:hAnsi="Arial Narrow" w:cs="Times New Roman"/>
                <w:color w:val="000000" w:themeColor="text1"/>
                <w:sz w:val="20"/>
                <w:szCs w:val="20"/>
                <w:lang w:val="sr-Cyrl-BA"/>
              </w:rPr>
              <w:t>=</w:t>
            </w:r>
            <w:r w:rsidRPr="003A3128">
              <w:rPr>
                <w:rFonts w:ascii="Arial Narrow" w:eastAsia="Calibri" w:hAnsi="Arial Narrow" w:cs="Times New Roman"/>
                <w:color w:val="000000" w:themeColor="text1"/>
                <w:sz w:val="20"/>
                <w:szCs w:val="20"/>
                <w:lang w:val="sr-Latn-CS"/>
              </w:rPr>
              <w:t>135</w:t>
            </w:r>
          </w:p>
        </w:tc>
      </w:tr>
      <w:tr w:rsidR="003A3128" w:rsidRPr="003A3128" w14:paraId="73EF7E99" w14:textId="77777777" w:rsidTr="00245174">
        <w:tc>
          <w:tcPr>
            <w:tcW w:w="9607" w:type="dxa"/>
            <w:gridSpan w:val="17"/>
            <w:tcBorders>
              <w:bottom w:val="single" w:sz="4" w:space="0" w:color="auto"/>
            </w:tcBorders>
            <w:shd w:val="clear" w:color="auto" w:fill="auto"/>
            <w:vAlign w:val="center"/>
          </w:tcPr>
          <w:p w14:paraId="4F726DEA" w14:textId="0F2DCD6C" w:rsidR="003A3128" w:rsidRPr="003A3128" w:rsidRDefault="005B3B6D" w:rsidP="00245174">
            <w:pPr>
              <w:jc w:val="center"/>
              <w:rPr>
                <w:rFonts w:ascii="Arial Narrow" w:eastAsia="Calibri" w:hAnsi="Arial Narrow" w:cs="Times New Roman"/>
                <w:color w:val="000000" w:themeColor="text1"/>
                <w:sz w:val="20"/>
                <w:szCs w:val="20"/>
                <w:lang w:val="sr-Cyrl-BA"/>
              </w:rPr>
            </w:pPr>
            <w:r w:rsidRPr="008603B7">
              <w:rPr>
                <w:rFonts w:ascii="Times New Roman" w:hAnsi="Times New Roman" w:cs="Times New Roman"/>
                <w:sz w:val="18"/>
                <w:szCs w:val="18"/>
                <w:lang w:val="en-US"/>
              </w:rPr>
              <w:t xml:space="preserve">Total subject workload (teaching + student): </w:t>
            </w:r>
            <w:r w:rsidR="003A3128" w:rsidRPr="003A3128">
              <w:rPr>
                <w:rFonts w:ascii="Arial Narrow" w:eastAsia="Calibri" w:hAnsi="Arial Narrow" w:cs="Times New Roman"/>
                <w:color w:val="000000" w:themeColor="text1"/>
                <w:sz w:val="20"/>
                <w:szCs w:val="20"/>
                <w:lang w:val="sr-Latn-BA"/>
              </w:rPr>
              <w:t>45+</w:t>
            </w:r>
            <w:r w:rsidR="003A3128" w:rsidRPr="003A3128">
              <w:rPr>
                <w:rFonts w:ascii="Arial Narrow" w:eastAsia="Calibri" w:hAnsi="Arial Narrow" w:cs="Times New Roman"/>
                <w:color w:val="000000" w:themeColor="text1"/>
                <w:sz w:val="20"/>
                <w:szCs w:val="20"/>
                <w:lang w:val="sr-Cyrl-BA"/>
              </w:rPr>
              <w:t xml:space="preserve"> </w:t>
            </w:r>
            <w:r w:rsidR="003A3128" w:rsidRPr="003A3128">
              <w:rPr>
                <w:rFonts w:ascii="Arial Narrow" w:eastAsia="Calibri" w:hAnsi="Arial Narrow" w:cs="Times New Roman"/>
                <w:color w:val="000000" w:themeColor="text1"/>
                <w:sz w:val="20"/>
                <w:szCs w:val="20"/>
                <w:lang w:val="sr-Latn-CS"/>
              </w:rPr>
              <w:t xml:space="preserve">135= 180 </w:t>
            </w:r>
            <w:r w:rsidRPr="008603B7">
              <w:rPr>
                <w:rFonts w:ascii="Times New Roman" w:hAnsi="Times New Roman" w:cs="Times New Roman"/>
                <w:sz w:val="18"/>
                <w:szCs w:val="18"/>
                <w:lang w:val="en-US"/>
              </w:rPr>
              <w:t>hours per semester</w:t>
            </w:r>
          </w:p>
        </w:tc>
      </w:tr>
      <w:tr w:rsidR="005B3B6D" w:rsidRPr="003A3128" w14:paraId="5BF00C6C" w14:textId="77777777" w:rsidTr="00245174">
        <w:tc>
          <w:tcPr>
            <w:tcW w:w="1668" w:type="dxa"/>
            <w:gridSpan w:val="2"/>
            <w:shd w:val="clear" w:color="auto" w:fill="D9D9D9" w:themeFill="background1" w:themeFillShade="D9"/>
            <w:vAlign w:val="center"/>
          </w:tcPr>
          <w:p w14:paraId="45D8B68F" w14:textId="490DD511" w:rsidR="005B3B6D" w:rsidRPr="003A3128" w:rsidRDefault="005B3B6D" w:rsidP="005B3B6D">
            <w:pP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Learning outcomes</w:t>
            </w:r>
          </w:p>
        </w:tc>
        <w:tc>
          <w:tcPr>
            <w:tcW w:w="7939" w:type="dxa"/>
            <w:gridSpan w:val="15"/>
            <w:vAlign w:val="center"/>
          </w:tcPr>
          <w:p w14:paraId="45C78B9A" w14:textId="0BAAF49F" w:rsidR="00011667" w:rsidRPr="00011667" w:rsidRDefault="005B3B6D" w:rsidP="00011667">
            <w:pPr>
              <w:rPr>
                <w:rFonts w:ascii="Arial Narrow" w:hAnsi="Arial Narrow" w:cs="Times New Roman"/>
                <w:color w:val="000000" w:themeColor="text1"/>
                <w:sz w:val="20"/>
                <w:szCs w:val="20"/>
                <w:lang w:val="sr-Latn-CS"/>
              </w:rPr>
            </w:pPr>
            <w:r w:rsidRPr="003A3128">
              <w:rPr>
                <w:rFonts w:ascii="Arial Narrow" w:eastAsia="TimesNewRomanPSMT" w:hAnsi="Arial Narrow" w:cs="Times New Roman"/>
                <w:color w:val="000000" w:themeColor="text1"/>
                <w:sz w:val="20"/>
                <w:szCs w:val="20"/>
                <w:lang w:val="en-US"/>
              </w:rPr>
              <w:t xml:space="preserve"> </w:t>
            </w:r>
            <w:r w:rsidR="00011667" w:rsidRPr="00011667">
              <w:rPr>
                <w:rFonts w:ascii="Arial Narrow" w:hAnsi="Arial Narrow"/>
                <w:color w:val="000000" w:themeColor="text1"/>
                <w:sz w:val="20"/>
                <w:szCs w:val="20"/>
                <w:lang w:val="sr-Cyrl-CS"/>
              </w:rPr>
              <w:t>Upon completing and passing the exam:</w:t>
            </w:r>
          </w:p>
          <w:p w14:paraId="13436179" w14:textId="77777777" w:rsidR="00011667" w:rsidRPr="00011667" w:rsidRDefault="00011667" w:rsidP="00011667">
            <w:pPr>
              <w:rPr>
                <w:rFonts w:ascii="Arial Narrow" w:hAnsi="Arial Narrow"/>
                <w:color w:val="000000" w:themeColor="text1"/>
                <w:sz w:val="20"/>
                <w:szCs w:val="20"/>
                <w:lang w:val="sr-Cyrl-CS"/>
              </w:rPr>
            </w:pPr>
          </w:p>
          <w:p w14:paraId="1AFF2039" w14:textId="77777777" w:rsidR="00011667" w:rsidRPr="00D71CDE" w:rsidRDefault="00011667" w:rsidP="00D71CDE">
            <w:pPr>
              <w:pStyle w:val="ListParagraph"/>
              <w:numPr>
                <w:ilvl w:val="0"/>
                <w:numId w:val="5"/>
              </w:numPr>
              <w:jc w:val="both"/>
              <w:rPr>
                <w:rFonts w:ascii="Arial Narrow" w:hAnsi="Arial Narrow"/>
                <w:color w:val="000000" w:themeColor="text1"/>
                <w:sz w:val="20"/>
                <w:szCs w:val="20"/>
                <w:lang w:val="sr-Cyrl-CS"/>
              </w:rPr>
            </w:pPr>
            <w:r w:rsidRPr="00D71CDE">
              <w:rPr>
                <w:rFonts w:ascii="Arial Narrow" w:hAnsi="Arial Narrow"/>
                <w:color w:val="000000" w:themeColor="text1"/>
                <w:sz w:val="20"/>
                <w:szCs w:val="20"/>
                <w:lang w:val="sr-Cyrl-CS"/>
              </w:rPr>
              <w:t>Students should acquire essential knowledge and skills in fundamental and clinical pharmacology to successfully perform their professional duties.</w:t>
            </w:r>
          </w:p>
          <w:p w14:paraId="4883E633" w14:textId="77777777" w:rsidR="00011667" w:rsidRPr="00D71CDE" w:rsidRDefault="00011667" w:rsidP="00D71CDE">
            <w:pPr>
              <w:pStyle w:val="ListParagraph"/>
              <w:numPr>
                <w:ilvl w:val="0"/>
                <w:numId w:val="5"/>
              </w:numPr>
              <w:jc w:val="both"/>
              <w:rPr>
                <w:rFonts w:ascii="Arial Narrow" w:hAnsi="Arial Narrow"/>
                <w:color w:val="000000" w:themeColor="text1"/>
                <w:sz w:val="20"/>
                <w:szCs w:val="20"/>
                <w:lang w:val="sr-Cyrl-CS"/>
              </w:rPr>
            </w:pPr>
            <w:r w:rsidRPr="00D71CDE">
              <w:rPr>
                <w:rFonts w:ascii="Arial Narrow" w:hAnsi="Arial Narrow"/>
                <w:color w:val="000000" w:themeColor="text1"/>
                <w:sz w:val="20"/>
                <w:szCs w:val="20"/>
                <w:lang w:val="sr-Cyrl-CS"/>
              </w:rPr>
              <w:t>They should become proficient, with a particular focus on the clinical application of medications for the diseases and conditions most commonly encountered in general practice.</w:t>
            </w:r>
          </w:p>
          <w:p w14:paraId="072314E9" w14:textId="77777777" w:rsidR="00011667" w:rsidRPr="00D71CDE" w:rsidRDefault="00011667" w:rsidP="00D71CDE">
            <w:pPr>
              <w:pStyle w:val="ListParagraph"/>
              <w:numPr>
                <w:ilvl w:val="0"/>
                <w:numId w:val="5"/>
              </w:numPr>
              <w:jc w:val="both"/>
              <w:rPr>
                <w:rFonts w:ascii="Arial Narrow" w:hAnsi="Arial Narrow"/>
                <w:color w:val="000000" w:themeColor="text1"/>
                <w:sz w:val="20"/>
                <w:szCs w:val="20"/>
                <w:lang w:val="sr-Cyrl-CS"/>
              </w:rPr>
            </w:pPr>
            <w:r w:rsidRPr="00D71CDE">
              <w:rPr>
                <w:rFonts w:ascii="Arial Narrow" w:hAnsi="Arial Narrow"/>
                <w:color w:val="000000" w:themeColor="text1"/>
                <w:sz w:val="20"/>
                <w:szCs w:val="20"/>
                <w:lang w:val="sr-Cyrl-CS"/>
              </w:rPr>
              <w:t>This primarily refers to the clinical application of local anaesthetics; the use of analgesics; medications affecting blood coagulation; drugs for the treatment of cardiovascular, respiratory, and gastrointestinal system diseases; pharmacology of hormones; and anti-infective drugs.</w:t>
            </w:r>
          </w:p>
          <w:p w14:paraId="120B70B8" w14:textId="67E5F513" w:rsidR="005B3B6D" w:rsidRPr="003A3128" w:rsidRDefault="00011667" w:rsidP="00D71CDE">
            <w:pPr>
              <w:pStyle w:val="ListParagraph"/>
              <w:numPr>
                <w:ilvl w:val="0"/>
                <w:numId w:val="5"/>
              </w:numPr>
              <w:jc w:val="both"/>
              <w:rPr>
                <w:rFonts w:ascii="Arial Narrow" w:hAnsi="Arial Narrow"/>
                <w:color w:val="000000" w:themeColor="text1"/>
                <w:sz w:val="20"/>
                <w:szCs w:val="20"/>
              </w:rPr>
            </w:pPr>
            <w:r w:rsidRPr="00011667">
              <w:rPr>
                <w:rFonts w:ascii="Arial Narrow" w:hAnsi="Arial Narrow"/>
                <w:color w:val="000000" w:themeColor="text1"/>
                <w:sz w:val="20"/>
                <w:szCs w:val="20"/>
                <w:lang w:val="sr-Cyrl-CS"/>
              </w:rPr>
              <w:t>Students should recognise contraindications of medications, understand drug safety comprehensively, and know the proper methods of prescribing medications.</w:t>
            </w:r>
          </w:p>
        </w:tc>
      </w:tr>
      <w:tr w:rsidR="005B3B6D" w:rsidRPr="003A3128" w14:paraId="44D38705" w14:textId="77777777" w:rsidTr="00245174">
        <w:tc>
          <w:tcPr>
            <w:tcW w:w="1668" w:type="dxa"/>
            <w:gridSpan w:val="2"/>
            <w:shd w:val="clear" w:color="auto" w:fill="D9D9D9" w:themeFill="background1" w:themeFillShade="D9"/>
            <w:vAlign w:val="center"/>
          </w:tcPr>
          <w:p w14:paraId="23197350" w14:textId="3476C6AE" w:rsidR="005B3B6D" w:rsidRPr="003A3128" w:rsidRDefault="005B3B6D" w:rsidP="005B3B6D">
            <w:pPr>
              <w:rPr>
                <w:rFonts w:ascii="Arial Narrow" w:hAnsi="Arial Narrow" w:cs="Times New Roman"/>
                <w:b/>
                <w:color w:val="000000" w:themeColor="text1"/>
                <w:sz w:val="20"/>
                <w:szCs w:val="20"/>
                <w:lang w:val="sr-Latn-BA"/>
              </w:rPr>
            </w:pPr>
            <w:r w:rsidRPr="008603B7">
              <w:rPr>
                <w:rFonts w:ascii="Times New Roman" w:hAnsi="Times New Roman" w:cs="Times New Roman"/>
                <w:b/>
                <w:sz w:val="18"/>
                <w:szCs w:val="18"/>
                <w:lang w:val="en-US"/>
              </w:rPr>
              <w:t>Preconditions</w:t>
            </w:r>
          </w:p>
        </w:tc>
        <w:tc>
          <w:tcPr>
            <w:tcW w:w="7939" w:type="dxa"/>
            <w:gridSpan w:val="15"/>
            <w:vAlign w:val="center"/>
          </w:tcPr>
          <w:p w14:paraId="22698301" w14:textId="5FC1C939" w:rsidR="005B3B6D" w:rsidRPr="005B3B6D" w:rsidRDefault="005B3B6D" w:rsidP="005B3B6D">
            <w:pPr>
              <w:rPr>
                <w:rFonts w:ascii="Arial Narrow" w:hAnsi="Arial Narrow" w:cs="Times New Roman"/>
                <w:color w:val="000000" w:themeColor="text1"/>
                <w:sz w:val="20"/>
                <w:szCs w:val="20"/>
                <w:lang w:val="sr-Latn-BA"/>
              </w:rPr>
            </w:pPr>
            <w:r>
              <w:rPr>
                <w:rFonts w:ascii="Arial Narrow" w:hAnsi="Arial Narrow" w:cs="Times New Roman"/>
                <w:color w:val="000000" w:themeColor="text1"/>
                <w:sz w:val="20"/>
                <w:szCs w:val="20"/>
                <w:lang w:val="sr-Latn-BA"/>
              </w:rPr>
              <w:t>No preconditions</w:t>
            </w:r>
          </w:p>
        </w:tc>
      </w:tr>
      <w:tr w:rsidR="005B3B6D" w:rsidRPr="003A3128" w14:paraId="43E823D2" w14:textId="77777777" w:rsidTr="00245174">
        <w:tc>
          <w:tcPr>
            <w:tcW w:w="1668" w:type="dxa"/>
            <w:gridSpan w:val="2"/>
            <w:shd w:val="clear" w:color="auto" w:fill="D9D9D9" w:themeFill="background1" w:themeFillShade="D9"/>
            <w:vAlign w:val="center"/>
          </w:tcPr>
          <w:p w14:paraId="01EF9380" w14:textId="594F24B9" w:rsidR="005B3B6D" w:rsidRPr="003A3128" w:rsidRDefault="005B3B6D" w:rsidP="005B3B6D">
            <w:pP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Teaching methods</w:t>
            </w:r>
          </w:p>
        </w:tc>
        <w:tc>
          <w:tcPr>
            <w:tcW w:w="7939" w:type="dxa"/>
            <w:gridSpan w:val="15"/>
            <w:vAlign w:val="center"/>
          </w:tcPr>
          <w:p w14:paraId="5EFA5051" w14:textId="4BD393B1" w:rsidR="005B3B6D" w:rsidRPr="005B3B6D" w:rsidRDefault="005B3B6D" w:rsidP="005B3B6D">
            <w:pPr>
              <w:rPr>
                <w:rFonts w:ascii="Arial Narrow" w:hAnsi="Arial Narrow" w:cs="Times New Roman"/>
                <w:color w:val="000000" w:themeColor="text1"/>
                <w:sz w:val="20"/>
                <w:szCs w:val="20"/>
                <w:lang w:val="sr-Latn-BA"/>
              </w:rPr>
            </w:pPr>
            <w:r>
              <w:rPr>
                <w:rFonts w:ascii="Arial Narrow" w:hAnsi="Arial Narrow" w:cs="Times New Roman"/>
                <w:color w:val="000000" w:themeColor="text1"/>
                <w:sz w:val="20"/>
                <w:szCs w:val="20"/>
                <w:lang w:val="sr-Latn-BA"/>
              </w:rPr>
              <w:t>Lectures, exercises, seminar</w:t>
            </w:r>
          </w:p>
        </w:tc>
      </w:tr>
      <w:tr w:rsidR="005B3B6D" w:rsidRPr="003A3128" w14:paraId="22DAF31E" w14:textId="77777777" w:rsidTr="00245174">
        <w:tc>
          <w:tcPr>
            <w:tcW w:w="1668" w:type="dxa"/>
            <w:gridSpan w:val="2"/>
            <w:tcBorders>
              <w:bottom w:val="single" w:sz="4" w:space="0" w:color="auto"/>
            </w:tcBorders>
            <w:shd w:val="clear" w:color="auto" w:fill="D9D9D9" w:themeFill="background1" w:themeFillShade="D9"/>
            <w:vAlign w:val="center"/>
          </w:tcPr>
          <w:p w14:paraId="3BB30B74" w14:textId="6988AFAE" w:rsidR="005B3B6D" w:rsidRPr="003A3128" w:rsidRDefault="005B3B6D" w:rsidP="005B3B6D">
            <w:pP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Subject content per week</w:t>
            </w:r>
          </w:p>
        </w:tc>
        <w:tc>
          <w:tcPr>
            <w:tcW w:w="7939" w:type="dxa"/>
            <w:gridSpan w:val="15"/>
            <w:tcBorders>
              <w:bottom w:val="single" w:sz="4" w:space="0" w:color="auto"/>
            </w:tcBorders>
            <w:vAlign w:val="center"/>
          </w:tcPr>
          <w:p w14:paraId="3249E765" w14:textId="14CF855E" w:rsidR="005B3B6D" w:rsidRPr="00AA0123" w:rsidRDefault="00D71CDE" w:rsidP="005B3B6D">
            <w:pPr>
              <w:rPr>
                <w:rFonts w:ascii="Arial Narrow" w:hAnsi="Arial Narrow" w:cs="Times New Roman"/>
                <w:b/>
                <w:color w:val="000000" w:themeColor="text1"/>
                <w:sz w:val="20"/>
                <w:szCs w:val="20"/>
                <w:lang w:val="sr-Latn-CS"/>
              </w:rPr>
            </w:pPr>
            <w:r>
              <w:rPr>
                <w:rFonts w:ascii="Arial Narrow" w:hAnsi="Arial Narrow" w:cs="Times New Roman"/>
                <w:b/>
                <w:color w:val="000000" w:themeColor="text1"/>
                <w:sz w:val="20"/>
                <w:szCs w:val="20"/>
                <w:lang w:val="sr-Latn-BA"/>
              </w:rPr>
              <w:t>Lectures</w:t>
            </w:r>
            <w:r w:rsidR="005B3B6D" w:rsidRPr="003A3128">
              <w:rPr>
                <w:rFonts w:ascii="Arial Narrow" w:hAnsi="Arial Narrow" w:cs="Times New Roman"/>
                <w:b/>
                <w:color w:val="000000" w:themeColor="text1"/>
                <w:sz w:val="20"/>
                <w:szCs w:val="20"/>
                <w:lang w:val="sr-Cyrl-CS"/>
              </w:rPr>
              <w:t>:</w:t>
            </w:r>
          </w:p>
          <w:p w14:paraId="583EE787" w14:textId="2BE45412" w:rsidR="005B3B6D" w:rsidRPr="007D3CC4" w:rsidRDefault="007D3CC4" w:rsidP="007D3CC4">
            <w:pPr>
              <w:pStyle w:val="ListParagraph"/>
              <w:numPr>
                <w:ilvl w:val="0"/>
                <w:numId w:val="1"/>
              </w:numPr>
              <w:tabs>
                <w:tab w:val="left" w:pos="360"/>
              </w:tabs>
              <w:jc w:val="both"/>
              <w:rPr>
                <w:rFonts w:ascii="Arial Narrow" w:hAnsi="Arial Narrow"/>
                <w:color w:val="000000" w:themeColor="text1"/>
                <w:sz w:val="20"/>
                <w:szCs w:val="20"/>
                <w:lang w:val="ru-RU"/>
              </w:rPr>
            </w:pPr>
            <w:r w:rsidRPr="007D3CC4">
              <w:rPr>
                <w:rFonts w:ascii="Arial Narrow" w:hAnsi="Arial Narrow"/>
                <w:color w:val="000000" w:themeColor="text1"/>
                <w:sz w:val="20"/>
                <w:szCs w:val="20"/>
                <w:lang w:val="ru-RU"/>
              </w:rPr>
              <w:t>General Pharmacology</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History of pharmacology.</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Division into disciplines.</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Drugs and poisons.</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Introduction of new drugs (preclinical and clinical drug testing).</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The role of professional nurses/therapists/laboratory technicians (non-physicians) in clinical trials.</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Drug dosing.</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Dosages.</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Therapeutic index and therapeutic range of a drug.</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Drug movement through the body.</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Passage through biomembranes.</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Drug absorption.</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Special absorption pathways.</w:t>
            </w:r>
            <w:r>
              <w:rPr>
                <w:rFonts w:ascii="Arial Narrow" w:hAnsi="Arial Narrow"/>
                <w:color w:val="000000" w:themeColor="text1"/>
                <w:sz w:val="20"/>
                <w:szCs w:val="20"/>
                <w:lang w:val="sr-Latn-BA"/>
              </w:rPr>
              <w:t xml:space="preserve"> </w:t>
            </w:r>
            <w:r w:rsidRPr="007D3CC4">
              <w:rPr>
                <w:rFonts w:ascii="Arial Narrow" w:hAnsi="Arial Narrow"/>
                <w:color w:val="000000" w:themeColor="text1"/>
                <w:sz w:val="20"/>
                <w:szCs w:val="20"/>
                <w:lang w:val="ru-RU"/>
              </w:rPr>
              <w:t>Bioavailability and bioequivalence.</w:t>
            </w:r>
            <w:r w:rsidR="005B3B6D" w:rsidRPr="007D3CC4">
              <w:rPr>
                <w:rFonts w:ascii="Arial Narrow" w:hAnsi="Arial Narrow"/>
                <w:color w:val="000000" w:themeColor="text1"/>
                <w:sz w:val="20"/>
                <w:szCs w:val="20"/>
                <w:lang w:val="ru-RU"/>
              </w:rPr>
              <w:t>.</w:t>
            </w:r>
          </w:p>
          <w:p w14:paraId="69523067" w14:textId="77777777" w:rsidR="00AB6ED7" w:rsidRPr="00AB6ED7" w:rsidRDefault="00AB6ED7" w:rsidP="005B3B6D">
            <w:pPr>
              <w:pStyle w:val="ListParagraph"/>
              <w:numPr>
                <w:ilvl w:val="0"/>
                <w:numId w:val="1"/>
              </w:numPr>
              <w:tabs>
                <w:tab w:val="left" w:pos="360"/>
              </w:tabs>
              <w:jc w:val="both"/>
              <w:rPr>
                <w:rFonts w:ascii="Arial Narrow" w:hAnsi="Arial Narrow"/>
                <w:color w:val="000000" w:themeColor="text1"/>
                <w:sz w:val="20"/>
                <w:szCs w:val="20"/>
                <w:lang w:val="sr-Latn-CS"/>
              </w:rPr>
            </w:pPr>
            <w:r w:rsidRPr="00AB6ED7">
              <w:rPr>
                <w:rFonts w:ascii="Arial Narrow" w:hAnsi="Arial Narrow"/>
                <w:color w:val="000000" w:themeColor="text1"/>
                <w:sz w:val="20"/>
                <w:szCs w:val="20"/>
                <w:lang w:val="ru-RU"/>
              </w:rPr>
              <w:t>The importance of pharmaceutical formulations. Drug distribution. Drug binding to plasma proteins. Drug metabolism. Factors affecting drug metabolism. Drug excretion. Pathways of drug elimination. Specific considerations for drug use in the elderly, children, and pregnant women.</w:t>
            </w:r>
          </w:p>
          <w:p w14:paraId="6D668EC3" w14:textId="77777777" w:rsidR="00DF4D1F" w:rsidRPr="00DF4D1F" w:rsidRDefault="00DF4D1F" w:rsidP="005B3B6D">
            <w:pPr>
              <w:pStyle w:val="Header"/>
              <w:numPr>
                <w:ilvl w:val="0"/>
                <w:numId w:val="1"/>
              </w:numPr>
              <w:rPr>
                <w:rFonts w:ascii="Arial Narrow" w:hAnsi="Arial Narrow"/>
                <w:color w:val="000000" w:themeColor="text1"/>
                <w:sz w:val="20"/>
                <w:szCs w:val="20"/>
                <w:lang w:val="sr-Latn-CS"/>
              </w:rPr>
            </w:pPr>
            <w:r w:rsidRPr="00DF4D1F">
              <w:rPr>
                <w:rFonts w:ascii="Arial Narrow" w:hAnsi="Arial Narrow"/>
                <w:color w:val="000000" w:themeColor="text1"/>
                <w:sz w:val="20"/>
                <w:szCs w:val="20"/>
                <w:lang w:val="ru-RU"/>
              </w:rPr>
              <w:t>Modes and sites of drug action. Mechanisms of drug action. Receptors. Polypharmacy. Drug interactions and adverse effects. Synergism and antagonism.</w:t>
            </w:r>
          </w:p>
          <w:p w14:paraId="2886D9C4" w14:textId="77777777" w:rsidR="002F42A2" w:rsidRPr="002F42A2" w:rsidRDefault="002F42A2" w:rsidP="002F42A2">
            <w:pPr>
              <w:pStyle w:val="Header"/>
              <w:numPr>
                <w:ilvl w:val="0"/>
                <w:numId w:val="1"/>
              </w:numPr>
              <w:rPr>
                <w:rFonts w:ascii="Arial Narrow" w:hAnsi="Arial Narrow"/>
                <w:color w:val="000000" w:themeColor="text1"/>
                <w:sz w:val="20"/>
                <w:szCs w:val="20"/>
              </w:rPr>
            </w:pPr>
            <w:r w:rsidRPr="002F42A2">
              <w:rPr>
                <w:rFonts w:ascii="Arial Narrow" w:hAnsi="Arial Narrow"/>
                <w:color w:val="000000" w:themeColor="text1"/>
                <w:sz w:val="20"/>
                <w:szCs w:val="20"/>
              </w:rPr>
              <w:t>Special Pharmacology – Neurotransmitters and receptors in the central and autonomic/vegetative nervous system. Cholinergic/parasympathomimetic drugs (Choline esters, Cholinesterase inhibitors and reactivators, Poisoning with mushrooms and botulinum toxin).</w:t>
            </w:r>
          </w:p>
          <w:p w14:paraId="585D0846" w14:textId="77777777" w:rsidR="002F42A2" w:rsidRPr="002F42A2" w:rsidRDefault="002F42A2" w:rsidP="002F42A2">
            <w:pPr>
              <w:pStyle w:val="Header"/>
              <w:numPr>
                <w:ilvl w:val="0"/>
                <w:numId w:val="1"/>
              </w:numPr>
              <w:rPr>
                <w:rFonts w:ascii="Arial Narrow" w:hAnsi="Arial Narrow"/>
                <w:color w:val="000000" w:themeColor="text1"/>
                <w:sz w:val="20"/>
                <w:szCs w:val="20"/>
              </w:rPr>
            </w:pPr>
            <w:r w:rsidRPr="002F42A2">
              <w:rPr>
                <w:rFonts w:ascii="Arial Narrow" w:hAnsi="Arial Narrow"/>
                <w:color w:val="000000" w:themeColor="text1"/>
                <w:sz w:val="20"/>
                <w:szCs w:val="20"/>
              </w:rPr>
              <w:t>Anticholinergic/parasympatholytic drugs (Atropine and its derivatives, Ganglionic stimulants and blockers, Neuromuscular blockers).</w:t>
            </w:r>
          </w:p>
          <w:p w14:paraId="041337A1" w14:textId="77777777" w:rsidR="002F42A2" w:rsidRPr="002F42A2" w:rsidRDefault="002F42A2" w:rsidP="002F42A2">
            <w:pPr>
              <w:pStyle w:val="Header"/>
              <w:numPr>
                <w:ilvl w:val="0"/>
                <w:numId w:val="1"/>
              </w:numPr>
              <w:rPr>
                <w:rFonts w:ascii="Arial Narrow" w:hAnsi="Arial Narrow"/>
                <w:color w:val="000000" w:themeColor="text1"/>
                <w:sz w:val="20"/>
                <w:szCs w:val="20"/>
              </w:rPr>
            </w:pPr>
            <w:r w:rsidRPr="002F42A2">
              <w:rPr>
                <w:rFonts w:ascii="Arial Narrow" w:hAnsi="Arial Narrow"/>
                <w:color w:val="000000" w:themeColor="text1"/>
                <w:sz w:val="20"/>
                <w:szCs w:val="20"/>
              </w:rPr>
              <w:t>Adrenergic/sympathomimetic drugs (Catecholamines, stimulants, and blockers of adrenergic receptors and their therapeutic significance).</w:t>
            </w:r>
          </w:p>
          <w:p w14:paraId="7049D8ED" w14:textId="77777777" w:rsidR="002F42A2" w:rsidRPr="002F42A2" w:rsidRDefault="002F42A2" w:rsidP="002F42A2">
            <w:pPr>
              <w:pStyle w:val="Header"/>
              <w:numPr>
                <w:ilvl w:val="0"/>
                <w:numId w:val="1"/>
              </w:numPr>
              <w:rPr>
                <w:rFonts w:ascii="Arial Narrow" w:hAnsi="Arial Narrow"/>
                <w:color w:val="000000" w:themeColor="text1"/>
                <w:sz w:val="20"/>
                <w:szCs w:val="20"/>
              </w:rPr>
            </w:pPr>
            <w:r w:rsidRPr="002F42A2">
              <w:rPr>
                <w:rFonts w:ascii="Arial Narrow" w:hAnsi="Arial Narrow"/>
                <w:color w:val="000000" w:themeColor="text1"/>
                <w:sz w:val="20"/>
                <w:szCs w:val="20"/>
              </w:rPr>
              <w:t>Antiadrenergic drugs/sympatholytics (α- and β-blockers and other drugs).</w:t>
            </w:r>
          </w:p>
          <w:p w14:paraId="5C13FA33" w14:textId="77777777" w:rsidR="002F42A2" w:rsidRPr="002F42A2" w:rsidRDefault="002F42A2" w:rsidP="002F42A2">
            <w:pPr>
              <w:pStyle w:val="Header"/>
              <w:numPr>
                <w:ilvl w:val="0"/>
                <w:numId w:val="1"/>
              </w:numPr>
              <w:rPr>
                <w:rFonts w:ascii="Arial Narrow" w:hAnsi="Arial Narrow"/>
                <w:color w:val="000000" w:themeColor="text1"/>
                <w:sz w:val="20"/>
                <w:szCs w:val="20"/>
              </w:rPr>
            </w:pPr>
            <w:r w:rsidRPr="002F42A2">
              <w:rPr>
                <w:rFonts w:ascii="Arial Narrow" w:hAnsi="Arial Narrow"/>
                <w:color w:val="000000" w:themeColor="text1"/>
                <w:sz w:val="20"/>
                <w:szCs w:val="20"/>
              </w:rPr>
              <w:t>Sedatives and hypnotics; Neuroleptics; Antidepressants; Lithium; Epilepsy therapy. General and local anesthetics. Analgesics and antiparkinsonian drugs.</w:t>
            </w:r>
          </w:p>
          <w:p w14:paraId="6111F551" w14:textId="77777777" w:rsidR="002F42A2" w:rsidRDefault="002F42A2" w:rsidP="002F42A2">
            <w:pPr>
              <w:pStyle w:val="ListParagraph"/>
              <w:numPr>
                <w:ilvl w:val="0"/>
                <w:numId w:val="1"/>
              </w:numPr>
              <w:tabs>
                <w:tab w:val="left" w:pos="360"/>
              </w:tabs>
              <w:jc w:val="both"/>
              <w:rPr>
                <w:rFonts w:ascii="Arial Narrow" w:hAnsi="Arial Narrow"/>
                <w:color w:val="000000" w:themeColor="text1"/>
                <w:sz w:val="20"/>
                <w:szCs w:val="20"/>
              </w:rPr>
            </w:pPr>
            <w:r w:rsidRPr="002F42A2">
              <w:rPr>
                <w:rFonts w:ascii="Arial Narrow" w:hAnsi="Arial Narrow"/>
                <w:color w:val="000000" w:themeColor="text1"/>
                <w:sz w:val="20"/>
                <w:szCs w:val="20"/>
              </w:rPr>
              <w:t>Pharmacology of the cardiovascular system (antiarrhythmic and antihypertensive drugs, drugs for the therapy of angina pectoris).</w:t>
            </w:r>
          </w:p>
          <w:p w14:paraId="15C259AF" w14:textId="77777777" w:rsidR="004A378A" w:rsidRPr="004A378A" w:rsidRDefault="004A378A" w:rsidP="004A378A">
            <w:pPr>
              <w:pStyle w:val="ListParagraph"/>
              <w:numPr>
                <w:ilvl w:val="0"/>
                <w:numId w:val="1"/>
              </w:numPr>
              <w:tabs>
                <w:tab w:val="left" w:pos="360"/>
              </w:tabs>
              <w:jc w:val="both"/>
              <w:rPr>
                <w:rFonts w:ascii="Arial Narrow" w:hAnsi="Arial Narrow"/>
                <w:color w:val="000000" w:themeColor="text1"/>
                <w:sz w:val="20"/>
                <w:szCs w:val="20"/>
              </w:rPr>
            </w:pPr>
            <w:r w:rsidRPr="004A378A">
              <w:rPr>
                <w:rFonts w:ascii="Arial Narrow" w:hAnsi="Arial Narrow"/>
                <w:color w:val="000000" w:themeColor="text1"/>
                <w:sz w:val="20"/>
                <w:szCs w:val="20"/>
              </w:rPr>
              <w:lastRenderedPageBreak/>
              <w:t>Cardiotonic glycosides and other drugs for heart failure, pharmacology of blood, water, and electrolytes.</w:t>
            </w:r>
          </w:p>
          <w:p w14:paraId="7B5F4453" w14:textId="77777777" w:rsidR="004A378A" w:rsidRDefault="004A378A" w:rsidP="004A378A">
            <w:pPr>
              <w:pStyle w:val="ListParagraph"/>
              <w:numPr>
                <w:ilvl w:val="0"/>
                <w:numId w:val="1"/>
              </w:numPr>
              <w:tabs>
                <w:tab w:val="left" w:pos="360"/>
              </w:tabs>
              <w:jc w:val="both"/>
              <w:rPr>
                <w:rFonts w:ascii="Arial Narrow" w:hAnsi="Arial Narrow"/>
                <w:color w:val="000000" w:themeColor="text1"/>
                <w:sz w:val="20"/>
                <w:szCs w:val="20"/>
              </w:rPr>
            </w:pPr>
            <w:r w:rsidRPr="004A378A">
              <w:rPr>
                <w:rFonts w:ascii="Arial Narrow" w:hAnsi="Arial Narrow"/>
                <w:color w:val="000000" w:themeColor="text1"/>
                <w:sz w:val="20"/>
                <w:szCs w:val="20"/>
              </w:rPr>
              <w:t>Pharmacology of the digestive tract (pharmacotherapy of peptic ulcers, therapy for diarrhoea, antiemetics, digestives, appetite stimulants and suppressants, and laxative drugs).</w:t>
            </w:r>
          </w:p>
          <w:p w14:paraId="2269823E" w14:textId="77777777" w:rsidR="00AA0123" w:rsidRPr="00AA0123" w:rsidRDefault="00AA0123" w:rsidP="00AA0123">
            <w:pPr>
              <w:pStyle w:val="ListParagraph"/>
              <w:numPr>
                <w:ilvl w:val="0"/>
                <w:numId w:val="1"/>
              </w:numPr>
              <w:tabs>
                <w:tab w:val="left" w:pos="360"/>
              </w:tabs>
              <w:jc w:val="both"/>
              <w:rPr>
                <w:rFonts w:ascii="Arial Narrow" w:hAnsi="Arial Narrow"/>
                <w:color w:val="000000" w:themeColor="text1"/>
                <w:sz w:val="20"/>
                <w:szCs w:val="20"/>
              </w:rPr>
            </w:pPr>
            <w:r w:rsidRPr="00AA0123">
              <w:rPr>
                <w:rFonts w:ascii="Arial Narrow" w:hAnsi="Arial Narrow"/>
                <w:color w:val="000000" w:themeColor="text1"/>
                <w:sz w:val="20"/>
                <w:szCs w:val="20"/>
              </w:rPr>
              <w:t>General principles of vitamin application; Pharmacology of hormones - Mechanism of action of hormones and their application; Anti-infective drugs; Antiseptics and disinfectants;</w:t>
            </w:r>
          </w:p>
          <w:p w14:paraId="44B63C0C" w14:textId="77777777" w:rsidR="00AA0123" w:rsidRPr="00AA0123" w:rsidRDefault="00AA0123" w:rsidP="00AA0123">
            <w:pPr>
              <w:pStyle w:val="ListParagraph"/>
              <w:numPr>
                <w:ilvl w:val="0"/>
                <w:numId w:val="1"/>
              </w:numPr>
              <w:tabs>
                <w:tab w:val="left" w:pos="360"/>
              </w:tabs>
              <w:jc w:val="both"/>
              <w:rPr>
                <w:rFonts w:ascii="Arial Narrow" w:hAnsi="Arial Narrow"/>
                <w:color w:val="000000" w:themeColor="text1"/>
                <w:sz w:val="20"/>
                <w:szCs w:val="20"/>
              </w:rPr>
            </w:pPr>
            <w:r w:rsidRPr="00AA0123">
              <w:rPr>
                <w:rFonts w:ascii="Arial Narrow" w:hAnsi="Arial Narrow"/>
                <w:color w:val="000000" w:themeColor="text1"/>
                <w:sz w:val="20"/>
                <w:szCs w:val="20"/>
              </w:rPr>
              <w:t>Immunopharmacology (immunosuppressive and immunostimulatory drugs); Chemotherapy of malignant diseases;</w:t>
            </w:r>
          </w:p>
          <w:p w14:paraId="1E2A7114" w14:textId="77777777" w:rsidR="00AA0123" w:rsidRPr="00AA0123" w:rsidRDefault="00AA0123" w:rsidP="00AA0123">
            <w:pPr>
              <w:pStyle w:val="ListParagraph"/>
              <w:numPr>
                <w:ilvl w:val="0"/>
                <w:numId w:val="1"/>
              </w:numPr>
              <w:tabs>
                <w:tab w:val="left" w:pos="360"/>
              </w:tabs>
              <w:jc w:val="both"/>
              <w:rPr>
                <w:rFonts w:ascii="Arial Narrow" w:hAnsi="Arial Narrow"/>
                <w:color w:val="000000" w:themeColor="text1"/>
                <w:sz w:val="20"/>
                <w:szCs w:val="20"/>
              </w:rPr>
            </w:pPr>
            <w:r w:rsidRPr="00AA0123">
              <w:rPr>
                <w:rFonts w:ascii="Arial Narrow" w:hAnsi="Arial Narrow"/>
                <w:color w:val="000000" w:themeColor="text1"/>
                <w:sz w:val="20"/>
                <w:szCs w:val="20"/>
              </w:rPr>
              <w:t>Pharmacology of the respiratory tract (oxygen, antitussives, expectorants, and other drugs);</w:t>
            </w:r>
          </w:p>
          <w:p w14:paraId="556204DA" w14:textId="5D40C223" w:rsidR="005B3B6D" w:rsidRPr="00AA0123" w:rsidRDefault="00AA0123" w:rsidP="00AA0123">
            <w:pPr>
              <w:pStyle w:val="ListParagraph"/>
              <w:numPr>
                <w:ilvl w:val="0"/>
                <w:numId w:val="1"/>
              </w:numPr>
              <w:tabs>
                <w:tab w:val="left" w:pos="360"/>
              </w:tabs>
              <w:jc w:val="both"/>
              <w:rPr>
                <w:rFonts w:ascii="Arial Narrow" w:hAnsi="Arial Narrow"/>
                <w:color w:val="000000" w:themeColor="text1"/>
                <w:sz w:val="20"/>
                <w:szCs w:val="20"/>
                <w:lang w:val="sr-Latn-CS"/>
              </w:rPr>
            </w:pPr>
            <w:r w:rsidRPr="00AA0123">
              <w:rPr>
                <w:rFonts w:ascii="Arial Narrow" w:hAnsi="Arial Narrow"/>
                <w:color w:val="000000" w:themeColor="text1"/>
                <w:sz w:val="20"/>
                <w:szCs w:val="20"/>
              </w:rPr>
              <w:t>Clinical toxicology, general principles of poisoning treatment; Most common classical poisonings.</w:t>
            </w:r>
          </w:p>
          <w:p w14:paraId="68C99B8D" w14:textId="77777777" w:rsidR="00AA0123" w:rsidRPr="003A3128" w:rsidRDefault="00AA0123" w:rsidP="00AA0123">
            <w:pPr>
              <w:pStyle w:val="ListParagraph"/>
              <w:tabs>
                <w:tab w:val="left" w:pos="360"/>
              </w:tabs>
              <w:jc w:val="both"/>
              <w:rPr>
                <w:rFonts w:ascii="Arial Narrow" w:hAnsi="Arial Narrow"/>
                <w:color w:val="000000" w:themeColor="text1"/>
                <w:sz w:val="20"/>
                <w:szCs w:val="20"/>
                <w:lang w:val="sr-Latn-CS"/>
              </w:rPr>
            </w:pPr>
          </w:p>
          <w:p w14:paraId="2C61028D" w14:textId="68BCA3ED" w:rsidR="005B3B6D" w:rsidRPr="003A3128" w:rsidRDefault="00AA0123" w:rsidP="005B3B6D">
            <w:pPr>
              <w:pStyle w:val="ListParagraph"/>
              <w:jc w:val="both"/>
              <w:rPr>
                <w:rFonts w:ascii="Arial Narrow" w:hAnsi="Arial Narrow" w:cs="Times New Roman"/>
                <w:b/>
                <w:color w:val="000000" w:themeColor="text1"/>
                <w:sz w:val="20"/>
                <w:szCs w:val="20"/>
                <w:lang w:val="sr-Cyrl-CS"/>
              </w:rPr>
            </w:pPr>
            <w:r>
              <w:rPr>
                <w:rFonts w:ascii="Arial Narrow" w:hAnsi="Arial Narrow" w:cs="Times New Roman"/>
                <w:b/>
                <w:color w:val="000000" w:themeColor="text1"/>
                <w:sz w:val="20"/>
                <w:szCs w:val="20"/>
                <w:lang w:val="sr-Latn-BA"/>
              </w:rPr>
              <w:t>Exercises</w:t>
            </w:r>
            <w:r w:rsidR="005B3B6D" w:rsidRPr="003A3128">
              <w:rPr>
                <w:rFonts w:ascii="Arial Narrow" w:hAnsi="Arial Narrow" w:cs="Times New Roman"/>
                <w:b/>
                <w:color w:val="000000" w:themeColor="text1"/>
                <w:sz w:val="20"/>
                <w:szCs w:val="20"/>
                <w:lang w:val="sr-Cyrl-CS"/>
              </w:rPr>
              <w:t>:</w:t>
            </w:r>
          </w:p>
          <w:p w14:paraId="20ABAF85" w14:textId="77777777" w:rsidR="005B3B6D" w:rsidRPr="003A3128" w:rsidRDefault="005B3B6D" w:rsidP="005B3B6D">
            <w:pPr>
              <w:pStyle w:val="ListParagraph"/>
              <w:jc w:val="both"/>
              <w:rPr>
                <w:rFonts w:ascii="Arial Narrow" w:hAnsi="Arial Narrow" w:cs="Times New Roman"/>
                <w:color w:val="000000" w:themeColor="text1"/>
                <w:sz w:val="20"/>
                <w:szCs w:val="20"/>
                <w:lang w:val="sr-Latn-BA"/>
              </w:rPr>
            </w:pPr>
          </w:p>
          <w:p w14:paraId="2D6BC784"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Dose-effect relationship of a drug (experimental exercise)</w:t>
            </w:r>
          </w:p>
          <w:p w14:paraId="1AD1D5A4"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Competitive antagonism (experimental exercise)</w:t>
            </w:r>
          </w:p>
          <w:p w14:paraId="7EFDC160"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Non-competitive antagonism, synergy, and interactions (experimental exercise)</w:t>
            </w:r>
          </w:p>
          <w:p w14:paraId="67F0870B"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Origin of drugs, pharmacopoeia, prescription, and methods of prescribing drugs</w:t>
            </w:r>
          </w:p>
          <w:p w14:paraId="1179A4EA"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Cholinergic and anticholinergic drugs (experimental exercise)</w:t>
            </w:r>
          </w:p>
          <w:p w14:paraId="02B8586A"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Adrenergic and antiadrenergic drugs (experimental exercise)</w:t>
            </w:r>
          </w:p>
          <w:p w14:paraId="23CF9CE6" w14:textId="77777777" w:rsid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Seminars – Drug application for specific patient groups</w:t>
            </w:r>
          </w:p>
          <w:p w14:paraId="0F3390A2"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Drug forms and methods of drug administration, storage, and distribution of drugs</w:t>
            </w:r>
          </w:p>
          <w:p w14:paraId="48404455"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Anti-Parkinsonian drugs</w:t>
            </w:r>
          </w:p>
          <w:p w14:paraId="648A5488"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Effects of drugs on the CNS and peripheral muscle relaxants</w:t>
            </w:r>
          </w:p>
          <w:p w14:paraId="29D9D593"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Antimicrobial therapy (Rational use of antibiotics)</w:t>
            </w:r>
          </w:p>
          <w:p w14:paraId="17256E66"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Hypertension and myocardial infarction or "live" experimental exercise: "Application of antihypertensive drugs on isolated blood vessels"</w:t>
            </w:r>
          </w:p>
          <w:p w14:paraId="1208EC2A"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Diabetes therapy or "live" experimental exercise: "Application of uterotonics/tocolytics on an isolated uterus"</w:t>
            </w:r>
          </w:p>
          <w:p w14:paraId="7B58C811" w14:textId="77777777" w:rsidR="00AA0123" w:rsidRPr="00AA0123"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Analgesics: seminar/experimental exercise</w:t>
            </w:r>
          </w:p>
          <w:p w14:paraId="3032AB1B" w14:textId="5B959705" w:rsidR="005B3B6D" w:rsidRPr="003A3128" w:rsidRDefault="00AA0123" w:rsidP="00AA0123">
            <w:pPr>
              <w:pStyle w:val="ListParagraph"/>
              <w:numPr>
                <w:ilvl w:val="0"/>
                <w:numId w:val="2"/>
              </w:numPr>
              <w:jc w:val="both"/>
              <w:rPr>
                <w:rFonts w:ascii="Arial Narrow" w:hAnsi="Arial Narrow"/>
                <w:color w:val="000000" w:themeColor="text1"/>
                <w:sz w:val="20"/>
                <w:szCs w:val="20"/>
              </w:rPr>
            </w:pPr>
            <w:r w:rsidRPr="00AA0123">
              <w:rPr>
                <w:rFonts w:ascii="Arial Narrow" w:hAnsi="Arial Narrow"/>
                <w:color w:val="000000" w:themeColor="text1"/>
                <w:sz w:val="20"/>
                <w:szCs w:val="20"/>
              </w:rPr>
              <w:t>Therapy for allergic reactions and anaphylactic shock</w:t>
            </w:r>
            <w:r>
              <w:rPr>
                <w:rFonts w:ascii="Arial Narrow" w:hAnsi="Arial Narrow"/>
                <w:color w:val="000000" w:themeColor="text1"/>
                <w:sz w:val="20"/>
                <w:szCs w:val="20"/>
              </w:rPr>
              <w:t>.</w:t>
            </w:r>
          </w:p>
        </w:tc>
      </w:tr>
      <w:tr w:rsidR="003A3128" w:rsidRPr="003A3128" w14:paraId="4FB6F6CB" w14:textId="77777777" w:rsidTr="00245174">
        <w:tc>
          <w:tcPr>
            <w:tcW w:w="9607" w:type="dxa"/>
            <w:gridSpan w:val="17"/>
            <w:tcBorders>
              <w:bottom w:val="single" w:sz="4" w:space="0" w:color="auto"/>
            </w:tcBorders>
            <w:shd w:val="clear" w:color="auto" w:fill="D9D9D9" w:themeFill="background1" w:themeFillShade="D9"/>
            <w:vAlign w:val="center"/>
          </w:tcPr>
          <w:p w14:paraId="44AD843D" w14:textId="64F28D95" w:rsidR="003A3128" w:rsidRPr="003A3128" w:rsidRDefault="00AA0123" w:rsidP="00245174">
            <w:pPr>
              <w:jc w:val="center"/>
              <w:rPr>
                <w:rFonts w:ascii="Arial Narrow" w:hAnsi="Arial Narrow" w:cs="Times New Roman"/>
                <w:b/>
                <w:color w:val="000000" w:themeColor="text1"/>
                <w:sz w:val="20"/>
                <w:szCs w:val="20"/>
                <w:lang w:val="sr-Cyrl-BA"/>
              </w:rPr>
            </w:pPr>
            <w:r w:rsidRPr="00AA0123">
              <w:rPr>
                <w:rFonts w:ascii="Arial Narrow" w:hAnsi="Arial Narrow" w:cs="Times New Roman"/>
                <w:b/>
                <w:color w:val="000000" w:themeColor="text1"/>
                <w:sz w:val="20"/>
                <w:szCs w:val="20"/>
                <w:lang w:val="sr-Cyrl-BA"/>
              </w:rPr>
              <w:lastRenderedPageBreak/>
              <w:t>Compulsory literature</w:t>
            </w:r>
          </w:p>
        </w:tc>
      </w:tr>
      <w:tr w:rsidR="00AA0123" w:rsidRPr="003A3128" w14:paraId="1902B905" w14:textId="77777777" w:rsidTr="00245174">
        <w:tc>
          <w:tcPr>
            <w:tcW w:w="2512" w:type="dxa"/>
            <w:gridSpan w:val="4"/>
            <w:shd w:val="clear" w:color="auto" w:fill="D9D9D9" w:themeFill="background1" w:themeFillShade="D9"/>
            <w:vAlign w:val="center"/>
          </w:tcPr>
          <w:p w14:paraId="3926B365" w14:textId="62557665" w:rsidR="00AA0123" w:rsidRPr="003A3128" w:rsidRDefault="00AA0123" w:rsidP="00AA0123">
            <w:pPr>
              <w:jc w:val="cente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Author/s</w:t>
            </w:r>
          </w:p>
        </w:tc>
        <w:tc>
          <w:tcPr>
            <w:tcW w:w="4256" w:type="dxa"/>
            <w:gridSpan w:val="9"/>
            <w:shd w:val="clear" w:color="auto" w:fill="D9D9D9" w:themeFill="background1" w:themeFillShade="D9"/>
            <w:vAlign w:val="center"/>
          </w:tcPr>
          <w:p w14:paraId="1CBD07E1" w14:textId="781E4932" w:rsidR="00AA0123" w:rsidRPr="003A3128" w:rsidRDefault="00AA0123" w:rsidP="00AA0123">
            <w:pPr>
              <w:jc w:val="cente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Publication title/Publisher</w:t>
            </w:r>
          </w:p>
        </w:tc>
        <w:tc>
          <w:tcPr>
            <w:tcW w:w="850" w:type="dxa"/>
            <w:gridSpan w:val="2"/>
            <w:shd w:val="clear" w:color="auto" w:fill="D9D9D9" w:themeFill="background1" w:themeFillShade="D9"/>
            <w:vAlign w:val="center"/>
          </w:tcPr>
          <w:p w14:paraId="1AE40294" w14:textId="205FCE24" w:rsidR="00AA0123" w:rsidRPr="003A3128" w:rsidRDefault="00AA0123" w:rsidP="00AA0123">
            <w:pPr>
              <w:jc w:val="cente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Year</w:t>
            </w:r>
          </w:p>
        </w:tc>
        <w:tc>
          <w:tcPr>
            <w:tcW w:w="1989" w:type="dxa"/>
            <w:gridSpan w:val="2"/>
            <w:shd w:val="clear" w:color="auto" w:fill="D9D9D9" w:themeFill="background1" w:themeFillShade="D9"/>
            <w:vAlign w:val="center"/>
          </w:tcPr>
          <w:p w14:paraId="3843B850" w14:textId="79542697" w:rsidR="00AA0123" w:rsidRPr="003A3128" w:rsidRDefault="00AA0123" w:rsidP="00AA0123">
            <w:pPr>
              <w:jc w:val="cente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Pages (from-to)</w:t>
            </w:r>
          </w:p>
        </w:tc>
      </w:tr>
      <w:tr w:rsidR="003A3128" w:rsidRPr="003A3128" w14:paraId="3338CD3B" w14:textId="77777777" w:rsidTr="00245174">
        <w:tc>
          <w:tcPr>
            <w:tcW w:w="2512" w:type="dxa"/>
            <w:gridSpan w:val="4"/>
            <w:shd w:val="clear" w:color="auto" w:fill="auto"/>
            <w:vAlign w:val="center"/>
          </w:tcPr>
          <w:p w14:paraId="1880B422" w14:textId="18B7ED42" w:rsidR="003A3128" w:rsidRPr="00EE15A2" w:rsidRDefault="00EE15A2" w:rsidP="00245174">
            <w:pPr>
              <w:rPr>
                <w:rFonts w:ascii="Arial Narrow" w:hAnsi="Arial Narrow" w:cs="Times New Roman"/>
                <w:color w:val="000000" w:themeColor="text1"/>
                <w:sz w:val="20"/>
                <w:szCs w:val="20"/>
                <w:lang w:val="sr-Latn-BA"/>
              </w:rPr>
            </w:pPr>
            <w:r>
              <w:rPr>
                <w:rFonts w:ascii="Arial Narrow" w:hAnsi="Arial Narrow"/>
                <w:color w:val="000000" w:themeColor="text1"/>
                <w:sz w:val="20"/>
                <w:szCs w:val="20"/>
                <w:lang w:val="sr-Latn-BA"/>
              </w:rPr>
              <w:t>Kažić T.</w:t>
            </w:r>
          </w:p>
        </w:tc>
        <w:tc>
          <w:tcPr>
            <w:tcW w:w="4256" w:type="dxa"/>
            <w:gridSpan w:val="9"/>
            <w:shd w:val="clear" w:color="auto" w:fill="auto"/>
            <w:vAlign w:val="center"/>
          </w:tcPr>
          <w:p w14:paraId="1C8B427D" w14:textId="5E0FC136" w:rsidR="003A3128" w:rsidRPr="00EE15A2" w:rsidRDefault="00EE15A2" w:rsidP="003A3128">
            <w:pPr>
              <w:widowControl w:val="0"/>
              <w:autoSpaceDE w:val="0"/>
              <w:autoSpaceDN w:val="0"/>
              <w:adjustRightInd w:val="0"/>
              <w:rPr>
                <w:rFonts w:ascii="Arial Narrow" w:hAnsi="Arial Narrow" w:cs="Times New Roman"/>
                <w:color w:val="000000" w:themeColor="text1"/>
                <w:sz w:val="20"/>
                <w:szCs w:val="20"/>
                <w:lang w:val="sr-Latn-BA"/>
              </w:rPr>
            </w:pPr>
            <w:r>
              <w:rPr>
                <w:rFonts w:ascii="Arial Narrow" w:hAnsi="Arial Narrow"/>
                <w:i/>
                <w:color w:val="000000" w:themeColor="text1"/>
                <w:sz w:val="20"/>
                <w:szCs w:val="20"/>
                <w:lang w:val="sr-Latn-BA"/>
              </w:rPr>
              <w:t>Farmakologija. Belgrade. Faculty of Medicine</w:t>
            </w:r>
          </w:p>
        </w:tc>
        <w:tc>
          <w:tcPr>
            <w:tcW w:w="850" w:type="dxa"/>
            <w:gridSpan w:val="2"/>
            <w:shd w:val="clear" w:color="auto" w:fill="auto"/>
            <w:vAlign w:val="center"/>
          </w:tcPr>
          <w:p w14:paraId="2582697D" w14:textId="77777777" w:rsidR="003A3128" w:rsidRPr="003A3128" w:rsidRDefault="003A3128" w:rsidP="00245174">
            <w:pP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2005</w:t>
            </w:r>
          </w:p>
        </w:tc>
        <w:tc>
          <w:tcPr>
            <w:tcW w:w="1989" w:type="dxa"/>
            <w:gridSpan w:val="2"/>
            <w:shd w:val="clear" w:color="auto" w:fill="auto"/>
            <w:vAlign w:val="center"/>
          </w:tcPr>
          <w:p w14:paraId="17159D1B" w14:textId="77777777" w:rsidR="003A3128" w:rsidRPr="003A3128" w:rsidRDefault="003A3128" w:rsidP="00245174">
            <w:pPr>
              <w:rPr>
                <w:rFonts w:ascii="Arial Narrow" w:hAnsi="Arial Narrow" w:cs="Times New Roman"/>
                <w:color w:val="000000" w:themeColor="text1"/>
                <w:sz w:val="20"/>
                <w:szCs w:val="20"/>
                <w:lang w:val="sr-Cyrl-BA"/>
              </w:rPr>
            </w:pPr>
          </w:p>
        </w:tc>
      </w:tr>
      <w:tr w:rsidR="003A3128" w:rsidRPr="003A3128" w14:paraId="42E5FFF9" w14:textId="77777777" w:rsidTr="00245174">
        <w:tc>
          <w:tcPr>
            <w:tcW w:w="9607" w:type="dxa"/>
            <w:gridSpan w:val="17"/>
            <w:shd w:val="clear" w:color="auto" w:fill="D9D9D9" w:themeFill="background1" w:themeFillShade="D9"/>
            <w:vAlign w:val="center"/>
          </w:tcPr>
          <w:p w14:paraId="252621A8" w14:textId="1F6F265A" w:rsidR="003A3128" w:rsidRPr="003A3128" w:rsidRDefault="00EE15A2" w:rsidP="00EE15A2">
            <w:pPr>
              <w:jc w:val="center"/>
              <w:rPr>
                <w:rFonts w:ascii="Arial Narrow" w:hAnsi="Arial Narrow" w:cs="Times New Roman"/>
                <w:b/>
                <w:color w:val="000000" w:themeColor="text1"/>
                <w:sz w:val="20"/>
                <w:szCs w:val="20"/>
                <w:lang w:val="sr-Cyrl-BA"/>
              </w:rPr>
            </w:pPr>
            <w:r w:rsidRPr="00E03889">
              <w:rPr>
                <w:rFonts w:ascii="Times New Roman" w:hAnsi="Times New Roman" w:cs="Times New Roman"/>
                <w:b/>
                <w:sz w:val="18"/>
                <w:szCs w:val="18"/>
                <w:lang w:val="en-US"/>
              </w:rPr>
              <w:t>Additional literature</w:t>
            </w:r>
          </w:p>
        </w:tc>
      </w:tr>
      <w:tr w:rsidR="00EE15A2" w:rsidRPr="003A3128" w14:paraId="42F1B752" w14:textId="77777777" w:rsidTr="00245174">
        <w:tc>
          <w:tcPr>
            <w:tcW w:w="2512" w:type="dxa"/>
            <w:gridSpan w:val="4"/>
            <w:shd w:val="clear" w:color="auto" w:fill="D9D9D9" w:themeFill="background1" w:themeFillShade="D9"/>
            <w:vAlign w:val="center"/>
          </w:tcPr>
          <w:p w14:paraId="0C99DA69" w14:textId="01FFCF45" w:rsidR="00EE15A2" w:rsidRPr="003A3128" w:rsidRDefault="00EE15A2" w:rsidP="00EE15A2">
            <w:pPr>
              <w:jc w:val="center"/>
              <w:rPr>
                <w:rFonts w:ascii="Arial Narrow" w:hAnsi="Arial Narrow" w:cs="Times New Roman"/>
                <w:color w:val="000000" w:themeColor="text1"/>
                <w:sz w:val="20"/>
                <w:szCs w:val="20"/>
                <w:lang w:val="sr-Cyrl-BA"/>
              </w:rPr>
            </w:pPr>
            <w:r w:rsidRPr="008603B7">
              <w:rPr>
                <w:rFonts w:ascii="Times New Roman" w:hAnsi="Times New Roman" w:cs="Times New Roman"/>
                <w:b/>
                <w:sz w:val="18"/>
                <w:szCs w:val="18"/>
                <w:lang w:val="en-US"/>
              </w:rPr>
              <w:t>Author/s</w:t>
            </w:r>
          </w:p>
        </w:tc>
        <w:tc>
          <w:tcPr>
            <w:tcW w:w="4256" w:type="dxa"/>
            <w:gridSpan w:val="9"/>
            <w:shd w:val="clear" w:color="auto" w:fill="D9D9D9" w:themeFill="background1" w:themeFillShade="D9"/>
            <w:vAlign w:val="center"/>
          </w:tcPr>
          <w:p w14:paraId="055CB7A7" w14:textId="3B587E4D" w:rsidR="00EE15A2" w:rsidRPr="003A3128" w:rsidRDefault="00EE15A2" w:rsidP="00EE15A2">
            <w:pPr>
              <w:jc w:val="cente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Publication title/Publisher</w:t>
            </w:r>
          </w:p>
        </w:tc>
        <w:tc>
          <w:tcPr>
            <w:tcW w:w="850" w:type="dxa"/>
            <w:gridSpan w:val="2"/>
            <w:shd w:val="clear" w:color="auto" w:fill="D9D9D9" w:themeFill="background1" w:themeFillShade="D9"/>
            <w:vAlign w:val="center"/>
          </w:tcPr>
          <w:p w14:paraId="50FE3C69" w14:textId="0220D7E4" w:rsidR="00EE15A2" w:rsidRPr="003A3128" w:rsidRDefault="00EE15A2" w:rsidP="00EE15A2">
            <w:pPr>
              <w:jc w:val="cente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Year</w:t>
            </w:r>
          </w:p>
        </w:tc>
        <w:tc>
          <w:tcPr>
            <w:tcW w:w="1989" w:type="dxa"/>
            <w:gridSpan w:val="2"/>
            <w:shd w:val="clear" w:color="auto" w:fill="D9D9D9" w:themeFill="background1" w:themeFillShade="D9"/>
            <w:vAlign w:val="center"/>
          </w:tcPr>
          <w:p w14:paraId="44607192" w14:textId="45DB9CE3" w:rsidR="00EE15A2" w:rsidRPr="003A3128" w:rsidRDefault="00EE15A2" w:rsidP="00EE15A2">
            <w:pPr>
              <w:jc w:val="center"/>
              <w:rPr>
                <w:rFonts w:ascii="Arial Narrow" w:hAnsi="Arial Narrow" w:cs="Times New Roman"/>
                <w:b/>
                <w:color w:val="000000" w:themeColor="text1"/>
                <w:sz w:val="20"/>
                <w:szCs w:val="20"/>
                <w:lang w:val="sr-Cyrl-BA"/>
              </w:rPr>
            </w:pPr>
            <w:r w:rsidRPr="008603B7">
              <w:rPr>
                <w:rFonts w:ascii="Times New Roman" w:hAnsi="Times New Roman" w:cs="Times New Roman"/>
                <w:b/>
                <w:sz w:val="18"/>
                <w:szCs w:val="18"/>
                <w:lang w:val="en-US"/>
              </w:rPr>
              <w:t>Pages (from-to)</w:t>
            </w:r>
          </w:p>
        </w:tc>
      </w:tr>
      <w:tr w:rsidR="00EE15A2" w:rsidRPr="003A3128" w14:paraId="2DB62AB6" w14:textId="77777777" w:rsidTr="00245174">
        <w:tc>
          <w:tcPr>
            <w:tcW w:w="2512" w:type="dxa"/>
            <w:gridSpan w:val="4"/>
            <w:shd w:val="clear" w:color="auto" w:fill="D9D9D9" w:themeFill="background1" w:themeFillShade="D9"/>
            <w:vAlign w:val="center"/>
          </w:tcPr>
          <w:p w14:paraId="0B26E680" w14:textId="77777777" w:rsidR="00EE15A2" w:rsidRPr="008603B7" w:rsidRDefault="00EE15A2" w:rsidP="00EE15A2">
            <w:pPr>
              <w:jc w:val="center"/>
              <w:rPr>
                <w:rFonts w:ascii="Times New Roman" w:hAnsi="Times New Roman" w:cs="Times New Roman"/>
                <w:b/>
                <w:sz w:val="18"/>
                <w:szCs w:val="18"/>
                <w:lang w:val="en-US"/>
              </w:rPr>
            </w:pPr>
          </w:p>
        </w:tc>
        <w:tc>
          <w:tcPr>
            <w:tcW w:w="4256" w:type="dxa"/>
            <w:gridSpan w:val="9"/>
            <w:shd w:val="clear" w:color="auto" w:fill="D9D9D9" w:themeFill="background1" w:themeFillShade="D9"/>
            <w:vAlign w:val="center"/>
          </w:tcPr>
          <w:p w14:paraId="6E6563E9" w14:textId="77777777" w:rsidR="00EE15A2" w:rsidRPr="008603B7" w:rsidRDefault="00EE15A2" w:rsidP="00EE15A2">
            <w:pPr>
              <w:jc w:val="center"/>
              <w:rPr>
                <w:rFonts w:ascii="Times New Roman" w:hAnsi="Times New Roman" w:cs="Times New Roman"/>
                <w:b/>
                <w:sz w:val="18"/>
                <w:szCs w:val="18"/>
                <w:lang w:val="en-US"/>
              </w:rPr>
            </w:pPr>
          </w:p>
        </w:tc>
        <w:tc>
          <w:tcPr>
            <w:tcW w:w="850" w:type="dxa"/>
            <w:gridSpan w:val="2"/>
            <w:shd w:val="clear" w:color="auto" w:fill="D9D9D9" w:themeFill="background1" w:themeFillShade="D9"/>
            <w:vAlign w:val="center"/>
          </w:tcPr>
          <w:p w14:paraId="42B6D050" w14:textId="77777777" w:rsidR="00EE15A2" w:rsidRPr="008603B7" w:rsidRDefault="00EE15A2" w:rsidP="00EE15A2">
            <w:pPr>
              <w:jc w:val="center"/>
              <w:rPr>
                <w:rFonts w:ascii="Times New Roman" w:hAnsi="Times New Roman" w:cs="Times New Roman"/>
                <w:b/>
                <w:sz w:val="18"/>
                <w:szCs w:val="18"/>
                <w:lang w:val="en-US"/>
              </w:rPr>
            </w:pPr>
          </w:p>
        </w:tc>
        <w:tc>
          <w:tcPr>
            <w:tcW w:w="1989" w:type="dxa"/>
            <w:gridSpan w:val="2"/>
            <w:shd w:val="clear" w:color="auto" w:fill="D9D9D9" w:themeFill="background1" w:themeFillShade="D9"/>
            <w:vAlign w:val="center"/>
          </w:tcPr>
          <w:p w14:paraId="7A6271D6" w14:textId="77777777" w:rsidR="00EE15A2" w:rsidRPr="008603B7" w:rsidRDefault="00EE15A2" w:rsidP="00EE15A2">
            <w:pPr>
              <w:jc w:val="center"/>
              <w:rPr>
                <w:rFonts w:ascii="Times New Roman" w:hAnsi="Times New Roman" w:cs="Times New Roman"/>
                <w:b/>
                <w:sz w:val="18"/>
                <w:szCs w:val="18"/>
                <w:lang w:val="en-US"/>
              </w:rPr>
            </w:pPr>
          </w:p>
        </w:tc>
      </w:tr>
      <w:tr w:rsidR="00EE15A2" w:rsidRPr="003A3128" w14:paraId="433FF841" w14:textId="77777777" w:rsidTr="00EE15A2">
        <w:trPr>
          <w:trHeight w:val="83"/>
        </w:trPr>
        <w:tc>
          <w:tcPr>
            <w:tcW w:w="1668" w:type="dxa"/>
            <w:gridSpan w:val="2"/>
            <w:vMerge w:val="restart"/>
            <w:shd w:val="clear" w:color="auto" w:fill="D9D9D9" w:themeFill="background1" w:themeFillShade="D9"/>
            <w:vAlign w:val="center"/>
          </w:tcPr>
          <w:p w14:paraId="6D19670F" w14:textId="76D7F1D1" w:rsidR="00EE15A2" w:rsidRPr="003A3128" w:rsidRDefault="00EE15A2" w:rsidP="00EE15A2">
            <w:pPr>
              <w:rPr>
                <w:rFonts w:ascii="Arial Narrow" w:hAnsi="Arial Narrow" w:cs="Times New Roman"/>
                <w:b/>
                <w:color w:val="000000" w:themeColor="text1"/>
                <w:sz w:val="20"/>
                <w:szCs w:val="20"/>
                <w:lang w:val="sr-Cyrl-BA"/>
              </w:rPr>
            </w:pPr>
            <w:r w:rsidRPr="00E03889">
              <w:rPr>
                <w:rFonts w:ascii="Times New Roman" w:hAnsi="Times New Roman" w:cs="Times New Roman"/>
                <w:b/>
                <w:sz w:val="18"/>
                <w:szCs w:val="18"/>
                <w:lang w:val="en-US"/>
              </w:rPr>
              <w:t>Student responsibilities, types of student assessment and grading</w:t>
            </w:r>
          </w:p>
        </w:tc>
        <w:tc>
          <w:tcPr>
            <w:tcW w:w="5100" w:type="dxa"/>
            <w:gridSpan w:val="11"/>
            <w:shd w:val="clear" w:color="auto" w:fill="D9D9D9" w:themeFill="background1" w:themeFillShade="D9"/>
            <w:vAlign w:val="center"/>
          </w:tcPr>
          <w:p w14:paraId="0293ADBA" w14:textId="385A7965" w:rsidR="00EE15A2" w:rsidRPr="003A3128" w:rsidRDefault="00EE15A2" w:rsidP="00EE15A2">
            <w:pPr>
              <w:jc w:val="center"/>
              <w:rPr>
                <w:rFonts w:ascii="Arial Narrow" w:hAnsi="Arial Narrow" w:cs="Times New Roman"/>
                <w:b/>
                <w:color w:val="000000" w:themeColor="text1"/>
                <w:sz w:val="20"/>
                <w:szCs w:val="20"/>
                <w:lang w:val="sr-Cyrl-BA"/>
              </w:rPr>
            </w:pPr>
            <w:r w:rsidRPr="00E03889">
              <w:rPr>
                <w:rFonts w:ascii="Times New Roman" w:hAnsi="Times New Roman" w:cs="Times New Roman"/>
                <w:b/>
                <w:sz w:val="18"/>
                <w:szCs w:val="18"/>
                <w:lang w:val="en-US"/>
              </w:rPr>
              <w:t>Grading policy</w:t>
            </w:r>
          </w:p>
        </w:tc>
        <w:tc>
          <w:tcPr>
            <w:tcW w:w="882" w:type="dxa"/>
            <w:gridSpan w:val="3"/>
            <w:shd w:val="clear" w:color="auto" w:fill="D9D9D9" w:themeFill="background1" w:themeFillShade="D9"/>
            <w:vAlign w:val="center"/>
          </w:tcPr>
          <w:p w14:paraId="767C7509" w14:textId="6BAA703E" w:rsidR="00EE15A2" w:rsidRPr="003A3128" w:rsidRDefault="00EE15A2" w:rsidP="00EE15A2">
            <w:pPr>
              <w:rPr>
                <w:rFonts w:ascii="Arial Narrow" w:hAnsi="Arial Narrow" w:cs="Times New Roman"/>
                <w:b/>
                <w:color w:val="000000" w:themeColor="text1"/>
                <w:sz w:val="20"/>
                <w:szCs w:val="20"/>
                <w:lang w:val="sr-Cyrl-BA"/>
              </w:rPr>
            </w:pPr>
            <w:r w:rsidRPr="00E03889">
              <w:rPr>
                <w:rFonts w:ascii="Times New Roman" w:hAnsi="Times New Roman" w:cs="Times New Roman"/>
                <w:b/>
                <w:sz w:val="18"/>
                <w:szCs w:val="18"/>
                <w:lang w:val="en-US"/>
              </w:rPr>
              <w:t>Points</w:t>
            </w:r>
          </w:p>
        </w:tc>
        <w:tc>
          <w:tcPr>
            <w:tcW w:w="1957" w:type="dxa"/>
            <w:shd w:val="clear" w:color="auto" w:fill="D9D9D9" w:themeFill="background1" w:themeFillShade="D9"/>
            <w:vAlign w:val="center"/>
          </w:tcPr>
          <w:p w14:paraId="1FA2CA84" w14:textId="2B6420FD" w:rsidR="00EE15A2" w:rsidRPr="003A3128" w:rsidRDefault="00EE15A2" w:rsidP="00EE15A2">
            <w:pPr>
              <w:rPr>
                <w:rFonts w:ascii="Arial Narrow" w:hAnsi="Arial Narrow" w:cs="Times New Roman"/>
                <w:b/>
                <w:color w:val="000000" w:themeColor="text1"/>
                <w:sz w:val="20"/>
                <w:szCs w:val="20"/>
                <w:lang w:val="sr-Cyrl-BA"/>
              </w:rPr>
            </w:pPr>
            <w:r w:rsidRPr="00E03889">
              <w:rPr>
                <w:rFonts w:ascii="Times New Roman" w:hAnsi="Times New Roman" w:cs="Times New Roman"/>
                <w:b/>
                <w:sz w:val="18"/>
                <w:szCs w:val="18"/>
                <w:lang w:val="en-US"/>
              </w:rPr>
              <w:t>Percentage</w:t>
            </w:r>
          </w:p>
        </w:tc>
      </w:tr>
      <w:tr w:rsidR="00EE15A2" w:rsidRPr="003A3128" w14:paraId="51CCA757" w14:textId="77777777" w:rsidTr="00245174">
        <w:trPr>
          <w:trHeight w:val="67"/>
        </w:trPr>
        <w:tc>
          <w:tcPr>
            <w:tcW w:w="1668" w:type="dxa"/>
            <w:gridSpan w:val="2"/>
            <w:vMerge/>
            <w:shd w:val="clear" w:color="auto" w:fill="D9D9D9" w:themeFill="background1" w:themeFillShade="D9"/>
            <w:vAlign w:val="center"/>
          </w:tcPr>
          <w:p w14:paraId="0823A856" w14:textId="77777777" w:rsidR="00EE15A2" w:rsidRPr="003A3128" w:rsidRDefault="00EE15A2" w:rsidP="00245174">
            <w:pPr>
              <w:rPr>
                <w:rFonts w:ascii="Arial Narrow" w:hAnsi="Arial Narrow" w:cs="Times New Roman"/>
                <w:color w:val="000000" w:themeColor="text1"/>
                <w:sz w:val="20"/>
                <w:szCs w:val="20"/>
                <w:lang w:val="sr-Cyrl-BA"/>
              </w:rPr>
            </w:pPr>
          </w:p>
        </w:tc>
        <w:tc>
          <w:tcPr>
            <w:tcW w:w="7939" w:type="dxa"/>
            <w:gridSpan w:val="15"/>
            <w:vAlign w:val="center"/>
          </w:tcPr>
          <w:p w14:paraId="5AFDB319" w14:textId="3A5D7933" w:rsidR="00EE15A2" w:rsidRPr="003A3128" w:rsidRDefault="00EE15A2" w:rsidP="00245174">
            <w:pPr>
              <w:rPr>
                <w:rFonts w:ascii="Arial Narrow" w:hAnsi="Arial Narrow" w:cs="Times New Roman"/>
                <w:color w:val="000000" w:themeColor="text1"/>
                <w:sz w:val="20"/>
                <w:szCs w:val="20"/>
                <w:lang w:val="sr-Cyrl-BA"/>
              </w:rPr>
            </w:pPr>
            <w:r w:rsidRPr="00E03889">
              <w:rPr>
                <w:rFonts w:ascii="Times New Roman" w:hAnsi="Times New Roman" w:cs="Times New Roman"/>
                <w:sz w:val="18"/>
                <w:szCs w:val="18"/>
                <w:lang w:val="en-US"/>
              </w:rPr>
              <w:t>Pre-exam activities</w:t>
            </w:r>
          </w:p>
        </w:tc>
      </w:tr>
      <w:tr w:rsidR="00EE15A2" w:rsidRPr="003A3128" w14:paraId="7B313260" w14:textId="77777777" w:rsidTr="00EE15A2">
        <w:trPr>
          <w:trHeight w:val="67"/>
        </w:trPr>
        <w:tc>
          <w:tcPr>
            <w:tcW w:w="1668" w:type="dxa"/>
            <w:gridSpan w:val="2"/>
            <w:vMerge/>
            <w:shd w:val="clear" w:color="auto" w:fill="D9D9D9" w:themeFill="background1" w:themeFillShade="D9"/>
            <w:vAlign w:val="center"/>
          </w:tcPr>
          <w:p w14:paraId="333C859B" w14:textId="77777777" w:rsidR="00EE15A2" w:rsidRPr="003A3128" w:rsidRDefault="00EE15A2" w:rsidP="00245174">
            <w:pPr>
              <w:rPr>
                <w:rFonts w:ascii="Arial Narrow" w:hAnsi="Arial Narrow" w:cs="Times New Roman"/>
                <w:color w:val="000000" w:themeColor="text1"/>
                <w:sz w:val="20"/>
                <w:szCs w:val="20"/>
                <w:lang w:val="sr-Cyrl-BA"/>
              </w:rPr>
            </w:pPr>
          </w:p>
        </w:tc>
        <w:tc>
          <w:tcPr>
            <w:tcW w:w="5100" w:type="dxa"/>
            <w:gridSpan w:val="11"/>
            <w:vAlign w:val="center"/>
          </w:tcPr>
          <w:p w14:paraId="33DE4C59" w14:textId="2B03AB5D" w:rsidR="00EE15A2" w:rsidRPr="003A3128" w:rsidRDefault="00EE15A2" w:rsidP="00245174">
            <w:pPr>
              <w:jc w:val="right"/>
              <w:rPr>
                <w:rFonts w:ascii="Arial Narrow" w:hAnsi="Arial Narrow" w:cs="Times New Roman"/>
                <w:color w:val="000000" w:themeColor="text1"/>
                <w:sz w:val="20"/>
                <w:szCs w:val="20"/>
                <w:lang w:val="sr-Cyrl-BA"/>
              </w:rPr>
            </w:pPr>
            <w:r>
              <w:rPr>
                <w:rFonts w:ascii="Times New Roman" w:hAnsi="Times New Roman" w:cs="Times New Roman"/>
                <w:sz w:val="18"/>
                <w:szCs w:val="18"/>
                <w:lang w:val="en-US"/>
              </w:rPr>
              <w:t xml:space="preserve">Lecture / </w:t>
            </w:r>
            <w:r w:rsidRPr="00E03889">
              <w:rPr>
                <w:rFonts w:ascii="Times New Roman" w:hAnsi="Times New Roman" w:cs="Times New Roman"/>
                <w:sz w:val="18"/>
                <w:szCs w:val="18"/>
                <w:lang w:val="en-US"/>
              </w:rPr>
              <w:t>exercise attendance</w:t>
            </w:r>
          </w:p>
        </w:tc>
        <w:tc>
          <w:tcPr>
            <w:tcW w:w="882" w:type="dxa"/>
            <w:gridSpan w:val="3"/>
            <w:vAlign w:val="center"/>
          </w:tcPr>
          <w:p w14:paraId="7223BF48" w14:textId="77777777" w:rsidR="00EE15A2" w:rsidRPr="003A3128" w:rsidRDefault="00EE15A2" w:rsidP="00245174">
            <w:pP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20</w:t>
            </w:r>
          </w:p>
        </w:tc>
        <w:tc>
          <w:tcPr>
            <w:tcW w:w="1957" w:type="dxa"/>
            <w:vAlign w:val="center"/>
          </w:tcPr>
          <w:p w14:paraId="606E1BE6" w14:textId="77777777" w:rsidR="00EE15A2" w:rsidRPr="003A3128" w:rsidRDefault="00EE15A2" w:rsidP="00245174">
            <w:pP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20%</w:t>
            </w:r>
          </w:p>
        </w:tc>
      </w:tr>
      <w:tr w:rsidR="00EE15A2" w:rsidRPr="003A3128" w14:paraId="0DBE7877" w14:textId="77777777" w:rsidTr="00EE15A2">
        <w:trPr>
          <w:trHeight w:val="67"/>
        </w:trPr>
        <w:tc>
          <w:tcPr>
            <w:tcW w:w="1668" w:type="dxa"/>
            <w:gridSpan w:val="2"/>
            <w:vMerge/>
            <w:shd w:val="clear" w:color="auto" w:fill="D9D9D9" w:themeFill="background1" w:themeFillShade="D9"/>
            <w:vAlign w:val="center"/>
          </w:tcPr>
          <w:p w14:paraId="29667554" w14:textId="77777777" w:rsidR="00EE15A2" w:rsidRPr="003A3128" w:rsidRDefault="00EE15A2" w:rsidP="00245174">
            <w:pPr>
              <w:rPr>
                <w:rFonts w:ascii="Arial Narrow" w:hAnsi="Arial Narrow" w:cs="Times New Roman"/>
                <w:color w:val="000000" w:themeColor="text1"/>
                <w:sz w:val="20"/>
                <w:szCs w:val="20"/>
                <w:lang w:val="sr-Cyrl-BA"/>
              </w:rPr>
            </w:pPr>
          </w:p>
        </w:tc>
        <w:tc>
          <w:tcPr>
            <w:tcW w:w="5100" w:type="dxa"/>
            <w:gridSpan w:val="11"/>
            <w:vAlign w:val="center"/>
          </w:tcPr>
          <w:p w14:paraId="5AAFD315" w14:textId="1AB3717B" w:rsidR="00EE15A2" w:rsidRPr="00EE15A2" w:rsidRDefault="00EE15A2" w:rsidP="00245174">
            <w:pPr>
              <w:jc w:val="right"/>
              <w:rPr>
                <w:rFonts w:ascii="Arial Narrow" w:hAnsi="Arial Narrow" w:cs="Times New Roman"/>
                <w:color w:val="000000" w:themeColor="text1"/>
                <w:sz w:val="20"/>
                <w:szCs w:val="20"/>
                <w:lang w:val="sr-Latn-BA"/>
              </w:rPr>
            </w:pPr>
            <w:r>
              <w:rPr>
                <w:rFonts w:ascii="Arial Narrow" w:hAnsi="Arial Narrow" w:cs="Times New Roman"/>
                <w:color w:val="000000" w:themeColor="text1"/>
                <w:sz w:val="20"/>
                <w:szCs w:val="20"/>
                <w:lang w:val="sr-Latn-BA"/>
              </w:rPr>
              <w:t>seminar paper</w:t>
            </w:r>
          </w:p>
        </w:tc>
        <w:tc>
          <w:tcPr>
            <w:tcW w:w="882" w:type="dxa"/>
            <w:gridSpan w:val="3"/>
            <w:vAlign w:val="center"/>
          </w:tcPr>
          <w:p w14:paraId="2641B5FB" w14:textId="77777777" w:rsidR="00EE15A2" w:rsidRPr="003A3128" w:rsidRDefault="00EE15A2" w:rsidP="00245174">
            <w:pP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10</w:t>
            </w:r>
          </w:p>
        </w:tc>
        <w:tc>
          <w:tcPr>
            <w:tcW w:w="1957" w:type="dxa"/>
            <w:vAlign w:val="center"/>
          </w:tcPr>
          <w:p w14:paraId="41EF207F" w14:textId="77777777" w:rsidR="00EE15A2" w:rsidRPr="003A3128" w:rsidRDefault="00EE15A2" w:rsidP="00245174">
            <w:pP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10%</w:t>
            </w:r>
          </w:p>
        </w:tc>
      </w:tr>
      <w:tr w:rsidR="00EE15A2" w:rsidRPr="003A3128" w14:paraId="65619033" w14:textId="77777777" w:rsidTr="00EE15A2">
        <w:trPr>
          <w:trHeight w:val="67"/>
        </w:trPr>
        <w:tc>
          <w:tcPr>
            <w:tcW w:w="1668" w:type="dxa"/>
            <w:gridSpan w:val="2"/>
            <w:vMerge/>
            <w:shd w:val="clear" w:color="auto" w:fill="D9D9D9" w:themeFill="background1" w:themeFillShade="D9"/>
            <w:vAlign w:val="center"/>
          </w:tcPr>
          <w:p w14:paraId="5F2015EA" w14:textId="77777777" w:rsidR="00EE15A2" w:rsidRPr="003A3128" w:rsidRDefault="00EE15A2" w:rsidP="00245174">
            <w:pPr>
              <w:rPr>
                <w:rFonts w:ascii="Arial Narrow" w:hAnsi="Arial Narrow" w:cs="Times New Roman"/>
                <w:color w:val="000000" w:themeColor="text1"/>
                <w:sz w:val="20"/>
                <w:szCs w:val="20"/>
                <w:lang w:val="sr-Cyrl-BA"/>
              </w:rPr>
            </w:pPr>
          </w:p>
        </w:tc>
        <w:tc>
          <w:tcPr>
            <w:tcW w:w="5100" w:type="dxa"/>
            <w:gridSpan w:val="11"/>
            <w:vAlign w:val="center"/>
          </w:tcPr>
          <w:p w14:paraId="6CF5A40C" w14:textId="3DEDD70E" w:rsidR="00EE15A2" w:rsidRPr="003A3128" w:rsidRDefault="00EE15A2" w:rsidP="00245174">
            <w:pPr>
              <w:jc w:val="right"/>
              <w:rPr>
                <w:rFonts w:ascii="Arial Narrow" w:hAnsi="Arial Narrow" w:cs="Times New Roman"/>
                <w:color w:val="000000" w:themeColor="text1"/>
                <w:sz w:val="20"/>
                <w:szCs w:val="20"/>
                <w:lang w:val="sr-Cyrl-BA"/>
              </w:rPr>
            </w:pPr>
            <w:r w:rsidRPr="00EE15A2">
              <w:rPr>
                <w:rFonts w:ascii="Arial Narrow" w:hAnsi="Arial Narrow" w:cs="Times New Roman"/>
                <w:color w:val="000000" w:themeColor="text1"/>
                <w:sz w:val="20"/>
                <w:szCs w:val="20"/>
                <w:lang w:val="sr-Cyrl-BA"/>
              </w:rPr>
              <w:t>colloquium</w:t>
            </w:r>
          </w:p>
        </w:tc>
        <w:tc>
          <w:tcPr>
            <w:tcW w:w="882" w:type="dxa"/>
            <w:gridSpan w:val="3"/>
            <w:vAlign w:val="center"/>
          </w:tcPr>
          <w:p w14:paraId="26A34BBC" w14:textId="77777777" w:rsidR="00EE15A2" w:rsidRPr="003A3128" w:rsidRDefault="00EE15A2" w:rsidP="00245174">
            <w:pP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20</w:t>
            </w:r>
          </w:p>
        </w:tc>
        <w:tc>
          <w:tcPr>
            <w:tcW w:w="1957" w:type="dxa"/>
            <w:vAlign w:val="center"/>
          </w:tcPr>
          <w:p w14:paraId="619D2A03" w14:textId="77777777" w:rsidR="00EE15A2" w:rsidRPr="003A3128" w:rsidRDefault="00EE15A2" w:rsidP="00245174">
            <w:pP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20%</w:t>
            </w:r>
          </w:p>
        </w:tc>
      </w:tr>
      <w:tr w:rsidR="00EE15A2" w:rsidRPr="003A3128" w14:paraId="36FA49D9" w14:textId="77777777" w:rsidTr="00245174">
        <w:trPr>
          <w:trHeight w:val="67"/>
        </w:trPr>
        <w:tc>
          <w:tcPr>
            <w:tcW w:w="1668" w:type="dxa"/>
            <w:gridSpan w:val="2"/>
            <w:vMerge/>
            <w:shd w:val="clear" w:color="auto" w:fill="D9D9D9" w:themeFill="background1" w:themeFillShade="D9"/>
            <w:vAlign w:val="center"/>
          </w:tcPr>
          <w:p w14:paraId="6AE5EFEF" w14:textId="77777777" w:rsidR="00EE15A2" w:rsidRPr="003A3128" w:rsidRDefault="00EE15A2" w:rsidP="00245174">
            <w:pPr>
              <w:rPr>
                <w:rFonts w:ascii="Arial Narrow" w:hAnsi="Arial Narrow" w:cs="Times New Roman"/>
                <w:color w:val="000000" w:themeColor="text1"/>
                <w:sz w:val="20"/>
                <w:szCs w:val="20"/>
                <w:lang w:val="sr-Cyrl-BA"/>
              </w:rPr>
            </w:pPr>
          </w:p>
        </w:tc>
        <w:tc>
          <w:tcPr>
            <w:tcW w:w="7939" w:type="dxa"/>
            <w:gridSpan w:val="15"/>
            <w:vAlign w:val="center"/>
          </w:tcPr>
          <w:p w14:paraId="123283E3" w14:textId="7BD5046A" w:rsidR="00EE15A2" w:rsidRPr="003A3128" w:rsidRDefault="00EE15A2" w:rsidP="00245174">
            <w:pPr>
              <w:rPr>
                <w:rFonts w:ascii="Arial Narrow" w:hAnsi="Arial Narrow" w:cs="Times New Roman"/>
                <w:color w:val="000000" w:themeColor="text1"/>
                <w:sz w:val="20"/>
                <w:szCs w:val="20"/>
                <w:lang w:val="sr-Cyrl-BA"/>
              </w:rPr>
            </w:pPr>
            <w:r w:rsidRPr="00E03889">
              <w:rPr>
                <w:rFonts w:ascii="Times New Roman" w:hAnsi="Times New Roman" w:cs="Times New Roman"/>
                <w:sz w:val="18"/>
                <w:szCs w:val="18"/>
                <w:lang w:val="en-US"/>
              </w:rPr>
              <w:t>Final exam</w:t>
            </w:r>
          </w:p>
        </w:tc>
      </w:tr>
      <w:tr w:rsidR="00EE15A2" w:rsidRPr="003A3128" w14:paraId="32B4408E" w14:textId="77777777" w:rsidTr="00EE15A2">
        <w:trPr>
          <w:trHeight w:val="67"/>
        </w:trPr>
        <w:tc>
          <w:tcPr>
            <w:tcW w:w="1668" w:type="dxa"/>
            <w:gridSpan w:val="2"/>
            <w:vMerge/>
            <w:shd w:val="clear" w:color="auto" w:fill="D9D9D9" w:themeFill="background1" w:themeFillShade="D9"/>
            <w:vAlign w:val="center"/>
          </w:tcPr>
          <w:p w14:paraId="3AEFCE04" w14:textId="77777777" w:rsidR="00EE15A2" w:rsidRPr="003A3128" w:rsidRDefault="00EE15A2" w:rsidP="00245174">
            <w:pPr>
              <w:rPr>
                <w:rFonts w:ascii="Arial Narrow" w:hAnsi="Arial Narrow" w:cs="Times New Roman"/>
                <w:color w:val="000000" w:themeColor="text1"/>
                <w:sz w:val="20"/>
                <w:szCs w:val="20"/>
                <w:lang w:val="sr-Cyrl-BA"/>
              </w:rPr>
            </w:pPr>
          </w:p>
        </w:tc>
        <w:tc>
          <w:tcPr>
            <w:tcW w:w="5100" w:type="dxa"/>
            <w:gridSpan w:val="11"/>
            <w:vAlign w:val="center"/>
          </w:tcPr>
          <w:p w14:paraId="1CBF5489" w14:textId="5F9D2926" w:rsidR="00EE15A2" w:rsidRPr="00E91886" w:rsidRDefault="00EE15A2" w:rsidP="00245174">
            <w:pPr>
              <w:jc w:val="right"/>
              <w:rPr>
                <w:rFonts w:ascii="Arial Narrow" w:hAnsi="Arial Narrow" w:cs="Times New Roman"/>
                <w:color w:val="000000" w:themeColor="text1"/>
                <w:sz w:val="20"/>
                <w:szCs w:val="20"/>
                <w:lang w:val="en-US"/>
              </w:rPr>
            </w:pPr>
            <w:r>
              <w:rPr>
                <w:rFonts w:ascii="Arial Narrow" w:hAnsi="Arial Narrow" w:cs="Times New Roman"/>
                <w:color w:val="000000" w:themeColor="text1"/>
                <w:sz w:val="20"/>
                <w:szCs w:val="20"/>
                <w:lang w:val="en-US"/>
              </w:rPr>
              <w:t>written</w:t>
            </w:r>
          </w:p>
        </w:tc>
        <w:tc>
          <w:tcPr>
            <w:tcW w:w="882" w:type="dxa"/>
            <w:gridSpan w:val="3"/>
            <w:vAlign w:val="center"/>
          </w:tcPr>
          <w:p w14:paraId="731AC084" w14:textId="77777777" w:rsidR="00EE15A2" w:rsidRPr="003A3128" w:rsidRDefault="00EE15A2" w:rsidP="00245174">
            <w:pP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50</w:t>
            </w:r>
          </w:p>
        </w:tc>
        <w:tc>
          <w:tcPr>
            <w:tcW w:w="1957" w:type="dxa"/>
            <w:vAlign w:val="center"/>
          </w:tcPr>
          <w:p w14:paraId="6458835C" w14:textId="77777777" w:rsidR="00EE15A2" w:rsidRPr="003A3128" w:rsidRDefault="00EE15A2" w:rsidP="00245174">
            <w:pPr>
              <w:rPr>
                <w:rFonts w:ascii="Arial Narrow" w:hAnsi="Arial Narrow" w:cs="Times New Roman"/>
                <w:color w:val="000000" w:themeColor="text1"/>
                <w:sz w:val="20"/>
                <w:szCs w:val="20"/>
                <w:lang w:val="sr-Latn-CS"/>
              </w:rPr>
            </w:pPr>
            <w:r w:rsidRPr="003A3128">
              <w:rPr>
                <w:rFonts w:ascii="Arial Narrow" w:hAnsi="Arial Narrow" w:cs="Times New Roman"/>
                <w:color w:val="000000" w:themeColor="text1"/>
                <w:sz w:val="20"/>
                <w:szCs w:val="20"/>
                <w:lang w:val="sr-Latn-CS"/>
              </w:rPr>
              <w:t>50%</w:t>
            </w:r>
          </w:p>
        </w:tc>
      </w:tr>
      <w:tr w:rsidR="00EE15A2" w:rsidRPr="003A3128" w14:paraId="07170D2D" w14:textId="77777777" w:rsidTr="00EE15A2">
        <w:trPr>
          <w:trHeight w:val="67"/>
        </w:trPr>
        <w:tc>
          <w:tcPr>
            <w:tcW w:w="1668" w:type="dxa"/>
            <w:gridSpan w:val="2"/>
            <w:vMerge/>
            <w:tcBorders>
              <w:bottom w:val="single" w:sz="4" w:space="0" w:color="auto"/>
            </w:tcBorders>
            <w:shd w:val="clear" w:color="auto" w:fill="D9D9D9" w:themeFill="background1" w:themeFillShade="D9"/>
            <w:vAlign w:val="center"/>
          </w:tcPr>
          <w:p w14:paraId="481D6326" w14:textId="77777777" w:rsidR="00EE15A2" w:rsidRPr="003A3128" w:rsidRDefault="00EE15A2" w:rsidP="00245174">
            <w:pPr>
              <w:rPr>
                <w:rFonts w:ascii="Arial Narrow" w:hAnsi="Arial Narrow" w:cs="Times New Roman"/>
                <w:color w:val="000000" w:themeColor="text1"/>
                <w:sz w:val="20"/>
                <w:szCs w:val="20"/>
                <w:lang w:val="sr-Cyrl-BA"/>
              </w:rPr>
            </w:pPr>
          </w:p>
        </w:tc>
        <w:tc>
          <w:tcPr>
            <w:tcW w:w="5100" w:type="dxa"/>
            <w:gridSpan w:val="11"/>
            <w:tcBorders>
              <w:bottom w:val="single" w:sz="4" w:space="0" w:color="auto"/>
            </w:tcBorders>
            <w:vAlign w:val="center"/>
          </w:tcPr>
          <w:p w14:paraId="2A71814C" w14:textId="0190ECB0" w:rsidR="00EE15A2" w:rsidRPr="003A3128" w:rsidRDefault="00EE15A2" w:rsidP="00245174">
            <w:pPr>
              <w:rPr>
                <w:rFonts w:ascii="Arial Narrow" w:hAnsi="Arial Narrow" w:cs="Times New Roman"/>
                <w:color w:val="000000" w:themeColor="text1"/>
                <w:sz w:val="20"/>
                <w:szCs w:val="20"/>
                <w:lang w:val="sr-Cyrl-BA"/>
              </w:rPr>
            </w:pPr>
            <w:r>
              <w:rPr>
                <w:rFonts w:ascii="Times New Roman" w:hAnsi="Times New Roman" w:cs="Times New Roman"/>
                <w:color w:val="000000" w:themeColor="text1"/>
                <w:sz w:val="18"/>
                <w:szCs w:val="18"/>
                <w:lang w:val="en-GB"/>
              </w:rPr>
              <w:t>TOTAL</w:t>
            </w:r>
          </w:p>
        </w:tc>
        <w:tc>
          <w:tcPr>
            <w:tcW w:w="882" w:type="dxa"/>
            <w:gridSpan w:val="3"/>
            <w:tcBorders>
              <w:bottom w:val="single" w:sz="4" w:space="0" w:color="auto"/>
            </w:tcBorders>
            <w:vAlign w:val="center"/>
          </w:tcPr>
          <w:p w14:paraId="5F7A07F1" w14:textId="77777777" w:rsidR="00EE15A2" w:rsidRPr="003A3128" w:rsidRDefault="00EE15A2" w:rsidP="00245174">
            <w:pPr>
              <w:rPr>
                <w:rFonts w:ascii="Arial Narrow" w:hAnsi="Arial Narrow" w:cs="Times New Roman"/>
                <w:color w:val="000000" w:themeColor="text1"/>
                <w:sz w:val="20"/>
                <w:szCs w:val="20"/>
                <w:lang w:val="sr-Cyrl-BA"/>
              </w:rPr>
            </w:pPr>
            <w:r w:rsidRPr="003A3128">
              <w:rPr>
                <w:rFonts w:ascii="Arial Narrow" w:hAnsi="Arial Narrow" w:cs="Times New Roman"/>
                <w:color w:val="000000" w:themeColor="text1"/>
                <w:sz w:val="20"/>
                <w:szCs w:val="20"/>
                <w:lang w:val="sr-Cyrl-BA"/>
              </w:rPr>
              <w:t>100</w:t>
            </w:r>
          </w:p>
        </w:tc>
        <w:tc>
          <w:tcPr>
            <w:tcW w:w="1957" w:type="dxa"/>
            <w:tcBorders>
              <w:bottom w:val="single" w:sz="4" w:space="0" w:color="auto"/>
            </w:tcBorders>
            <w:vAlign w:val="center"/>
          </w:tcPr>
          <w:p w14:paraId="678F7F64" w14:textId="77777777" w:rsidR="00EE15A2" w:rsidRPr="003A3128" w:rsidRDefault="00EE15A2" w:rsidP="00245174">
            <w:pPr>
              <w:rPr>
                <w:rFonts w:ascii="Arial Narrow" w:hAnsi="Arial Narrow" w:cs="Times New Roman"/>
                <w:color w:val="000000" w:themeColor="text1"/>
                <w:sz w:val="20"/>
                <w:szCs w:val="20"/>
                <w:lang w:val="sr-Cyrl-BA"/>
              </w:rPr>
            </w:pPr>
            <w:r w:rsidRPr="003A3128">
              <w:rPr>
                <w:rFonts w:ascii="Arial Narrow" w:hAnsi="Arial Narrow" w:cs="Times New Roman"/>
                <w:color w:val="000000" w:themeColor="text1"/>
                <w:sz w:val="20"/>
                <w:szCs w:val="20"/>
                <w:lang w:val="sr-Cyrl-BA"/>
              </w:rPr>
              <w:t>100 %</w:t>
            </w:r>
          </w:p>
        </w:tc>
      </w:tr>
      <w:tr w:rsidR="003A3128" w:rsidRPr="003A3128" w14:paraId="3F525794" w14:textId="77777777" w:rsidTr="00245174">
        <w:trPr>
          <w:trHeight w:val="272"/>
        </w:trPr>
        <w:tc>
          <w:tcPr>
            <w:tcW w:w="1668" w:type="dxa"/>
            <w:gridSpan w:val="2"/>
            <w:shd w:val="clear" w:color="auto" w:fill="D9D9D9" w:themeFill="background1" w:themeFillShade="D9"/>
            <w:vAlign w:val="center"/>
          </w:tcPr>
          <w:p w14:paraId="1A6135C4" w14:textId="4FE249DF" w:rsidR="003A3128" w:rsidRPr="003A3128" w:rsidRDefault="00EE15A2" w:rsidP="00245174">
            <w:pPr>
              <w:rPr>
                <w:rFonts w:ascii="Arial Narrow" w:hAnsi="Arial Narrow" w:cs="Times New Roman"/>
                <w:b/>
                <w:color w:val="000000" w:themeColor="text1"/>
                <w:sz w:val="20"/>
                <w:szCs w:val="20"/>
                <w:lang w:val="sr-Cyrl-BA"/>
              </w:rPr>
            </w:pPr>
            <w:r w:rsidRPr="00E03889">
              <w:rPr>
                <w:rFonts w:ascii="Times New Roman" w:hAnsi="Times New Roman" w:cs="Times New Roman"/>
                <w:b/>
                <w:sz w:val="18"/>
                <w:szCs w:val="18"/>
                <w:lang w:val="en-US"/>
              </w:rPr>
              <w:t>Certification date</w:t>
            </w:r>
          </w:p>
        </w:tc>
        <w:tc>
          <w:tcPr>
            <w:tcW w:w="7939" w:type="dxa"/>
            <w:gridSpan w:val="15"/>
            <w:vAlign w:val="center"/>
          </w:tcPr>
          <w:p w14:paraId="1E585F72" w14:textId="77035EAC" w:rsidR="003A3128" w:rsidRPr="007541FA" w:rsidRDefault="007541FA" w:rsidP="00245174">
            <w:pPr>
              <w:rPr>
                <w:rFonts w:ascii="Arial Narrow" w:hAnsi="Arial Narrow" w:cs="Times New Roman"/>
                <w:color w:val="000000" w:themeColor="text1"/>
                <w:sz w:val="20"/>
                <w:szCs w:val="20"/>
                <w:lang w:val="en-US"/>
              </w:rPr>
            </w:pPr>
            <w:r>
              <w:rPr>
                <w:rFonts w:ascii="Arial Narrow" w:hAnsi="Arial Narrow" w:cs="Times New Roman"/>
                <w:color w:val="000000" w:themeColor="text1"/>
                <w:sz w:val="20"/>
                <w:szCs w:val="20"/>
                <w:lang w:val="en-US"/>
              </w:rPr>
              <w:t>December 2024.</w:t>
            </w:r>
          </w:p>
        </w:tc>
      </w:tr>
    </w:tbl>
    <w:p w14:paraId="54F6A753" w14:textId="77777777" w:rsidR="003A3128" w:rsidRPr="003A3128" w:rsidRDefault="003A3128" w:rsidP="003A3128">
      <w:pPr>
        <w:rPr>
          <w:rFonts w:ascii="Arial Narrow" w:hAnsi="Arial Narrow" w:cs="Times New Roman"/>
          <w:color w:val="000000" w:themeColor="text1"/>
          <w:sz w:val="18"/>
          <w:szCs w:val="20"/>
          <w:lang w:val="sr-Cyrl-BA"/>
        </w:rPr>
      </w:pPr>
    </w:p>
    <w:p w14:paraId="157DFDD6" w14:textId="77777777" w:rsidR="003A3128" w:rsidRPr="003A3128" w:rsidRDefault="003A3128" w:rsidP="003A3128">
      <w:pPr>
        <w:rPr>
          <w:rFonts w:ascii="Arial Narrow" w:hAnsi="Arial Narrow" w:cs="Times New Roman"/>
          <w:color w:val="000000" w:themeColor="text1"/>
          <w:sz w:val="18"/>
          <w:szCs w:val="20"/>
          <w:lang w:val="sr-Cyrl-BA"/>
        </w:rPr>
      </w:pPr>
    </w:p>
    <w:p w14:paraId="1D7FB6B0" w14:textId="77777777" w:rsidR="00B36B65" w:rsidRPr="003A3128" w:rsidRDefault="00B36B65" w:rsidP="003A3128">
      <w:pPr>
        <w:rPr>
          <w:color w:val="000000" w:themeColor="text1"/>
        </w:rPr>
      </w:pPr>
    </w:p>
    <w:sectPr w:rsidR="00B36B65" w:rsidRPr="003A3128"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928A1" w14:textId="77777777" w:rsidR="00CA2878" w:rsidRDefault="00CA2878" w:rsidP="00662C2A">
      <w:pPr>
        <w:spacing w:after="0" w:line="240" w:lineRule="auto"/>
      </w:pPr>
      <w:r>
        <w:separator/>
      </w:r>
    </w:p>
  </w:endnote>
  <w:endnote w:type="continuationSeparator" w:id="0">
    <w:p w14:paraId="00786E4B" w14:textId="77777777" w:rsidR="00CA2878" w:rsidRDefault="00CA2878"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altName w:val="MS Mincho"/>
    <w:panose1 w:val="00000000000000000000"/>
    <w:charset w:val="80"/>
    <w:family w:val="auto"/>
    <w:notTrueType/>
    <w:pitch w:val="default"/>
    <w:sig w:usb0="00000007" w:usb1="08070000" w:usb2="00000010" w:usb3="00000000" w:csb0="00020003"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15521" w14:textId="77777777" w:rsidR="00A05E6A" w:rsidRDefault="00A05E6A">
    <w:pPr>
      <w:pStyle w:val="Footer"/>
      <w:jc w:val="right"/>
    </w:pPr>
  </w:p>
  <w:p w14:paraId="2A0BB73E" w14:textId="77777777"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D01D1" w14:textId="77777777" w:rsidR="00CA2878" w:rsidRDefault="00CA2878" w:rsidP="00662C2A">
      <w:pPr>
        <w:spacing w:after="0" w:line="240" w:lineRule="auto"/>
      </w:pPr>
      <w:r>
        <w:separator/>
      </w:r>
    </w:p>
  </w:footnote>
  <w:footnote w:type="continuationSeparator" w:id="0">
    <w:p w14:paraId="0DA8C252" w14:textId="77777777" w:rsidR="00CA2878" w:rsidRDefault="00CA2878" w:rsidP="00662C2A">
      <w:pPr>
        <w:spacing w:after="0" w:line="240" w:lineRule="auto"/>
      </w:pPr>
      <w:r>
        <w:continuationSeparator/>
      </w:r>
    </w:p>
  </w:footnote>
  <w:footnote w:id="1">
    <w:p w14:paraId="133009FE" w14:textId="77777777" w:rsidR="005B3B6D" w:rsidRDefault="005B3B6D">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34FC1231" w14:textId="77777777" w:rsidR="005B3B6D" w:rsidRDefault="005B3B6D">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14:paraId="4552AF20" w14:textId="77777777" w:rsidR="005B3B6D" w:rsidRDefault="005B3B6D">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14:paraId="101549DA" w14:textId="77777777" w:rsidR="005B3B6D" w:rsidRDefault="005B3B6D">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D18F7"/>
    <w:multiLevelType w:val="hybridMultilevel"/>
    <w:tmpl w:val="CD04A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CA2958"/>
    <w:multiLevelType w:val="hybridMultilevel"/>
    <w:tmpl w:val="247E80DE"/>
    <w:lvl w:ilvl="0" w:tplc="479A5A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E1A95"/>
    <w:multiLevelType w:val="hybridMultilevel"/>
    <w:tmpl w:val="39EA2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240C8F"/>
    <w:multiLevelType w:val="hybridMultilevel"/>
    <w:tmpl w:val="B7942D06"/>
    <w:lvl w:ilvl="0" w:tplc="62BAE390">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7EA30E93"/>
    <w:multiLevelType w:val="hybridMultilevel"/>
    <w:tmpl w:val="BF64D1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1667"/>
    <w:rsid w:val="000141CA"/>
    <w:rsid w:val="00045978"/>
    <w:rsid w:val="00047C01"/>
    <w:rsid w:val="000524E9"/>
    <w:rsid w:val="00053CB2"/>
    <w:rsid w:val="00060A17"/>
    <w:rsid w:val="00073BE8"/>
    <w:rsid w:val="000A5F56"/>
    <w:rsid w:val="000C20EE"/>
    <w:rsid w:val="000C4C55"/>
    <w:rsid w:val="000D2304"/>
    <w:rsid w:val="000E40D3"/>
    <w:rsid w:val="000E6CA4"/>
    <w:rsid w:val="000F33AB"/>
    <w:rsid w:val="001274EB"/>
    <w:rsid w:val="0012763D"/>
    <w:rsid w:val="00142472"/>
    <w:rsid w:val="00191E6E"/>
    <w:rsid w:val="001B6A8D"/>
    <w:rsid w:val="001D19B1"/>
    <w:rsid w:val="001E27BB"/>
    <w:rsid w:val="002218CA"/>
    <w:rsid w:val="00246DAF"/>
    <w:rsid w:val="00247E08"/>
    <w:rsid w:val="0026772A"/>
    <w:rsid w:val="002833F0"/>
    <w:rsid w:val="0029779A"/>
    <w:rsid w:val="002A5F18"/>
    <w:rsid w:val="002B0879"/>
    <w:rsid w:val="002B5622"/>
    <w:rsid w:val="002C797C"/>
    <w:rsid w:val="002F40C2"/>
    <w:rsid w:val="002F42A2"/>
    <w:rsid w:val="00322925"/>
    <w:rsid w:val="00355B14"/>
    <w:rsid w:val="00364350"/>
    <w:rsid w:val="00364F7B"/>
    <w:rsid w:val="0037103D"/>
    <w:rsid w:val="00381C3B"/>
    <w:rsid w:val="003848E7"/>
    <w:rsid w:val="00387001"/>
    <w:rsid w:val="003A3128"/>
    <w:rsid w:val="003A52B9"/>
    <w:rsid w:val="003B01FA"/>
    <w:rsid w:val="003B1A86"/>
    <w:rsid w:val="003B5A99"/>
    <w:rsid w:val="003F463D"/>
    <w:rsid w:val="00405A21"/>
    <w:rsid w:val="00406369"/>
    <w:rsid w:val="00412CA7"/>
    <w:rsid w:val="004141FB"/>
    <w:rsid w:val="00421F85"/>
    <w:rsid w:val="0043206D"/>
    <w:rsid w:val="00446201"/>
    <w:rsid w:val="00463327"/>
    <w:rsid w:val="004866A1"/>
    <w:rsid w:val="004A378A"/>
    <w:rsid w:val="004C23C6"/>
    <w:rsid w:val="004C736E"/>
    <w:rsid w:val="004D494F"/>
    <w:rsid w:val="00516918"/>
    <w:rsid w:val="0052074F"/>
    <w:rsid w:val="0052714E"/>
    <w:rsid w:val="005401FF"/>
    <w:rsid w:val="00545329"/>
    <w:rsid w:val="00550AD9"/>
    <w:rsid w:val="00551612"/>
    <w:rsid w:val="00564658"/>
    <w:rsid w:val="00574764"/>
    <w:rsid w:val="00580D74"/>
    <w:rsid w:val="00581BDB"/>
    <w:rsid w:val="00592CFD"/>
    <w:rsid w:val="00595D2D"/>
    <w:rsid w:val="005A462E"/>
    <w:rsid w:val="005A61DB"/>
    <w:rsid w:val="005B3B6D"/>
    <w:rsid w:val="005B5014"/>
    <w:rsid w:val="005C7CD2"/>
    <w:rsid w:val="005E6142"/>
    <w:rsid w:val="005F5CDC"/>
    <w:rsid w:val="0060036C"/>
    <w:rsid w:val="00620598"/>
    <w:rsid w:val="00621E22"/>
    <w:rsid w:val="00632D5C"/>
    <w:rsid w:val="00642831"/>
    <w:rsid w:val="00662C2A"/>
    <w:rsid w:val="00664410"/>
    <w:rsid w:val="0066795F"/>
    <w:rsid w:val="00670864"/>
    <w:rsid w:val="0067541D"/>
    <w:rsid w:val="00677552"/>
    <w:rsid w:val="006811BC"/>
    <w:rsid w:val="00686EE2"/>
    <w:rsid w:val="00696562"/>
    <w:rsid w:val="006A0018"/>
    <w:rsid w:val="006F0D88"/>
    <w:rsid w:val="006F2738"/>
    <w:rsid w:val="00705F99"/>
    <w:rsid w:val="00707181"/>
    <w:rsid w:val="0071360D"/>
    <w:rsid w:val="007148B8"/>
    <w:rsid w:val="0071623A"/>
    <w:rsid w:val="00720EA3"/>
    <w:rsid w:val="00741E90"/>
    <w:rsid w:val="00746E99"/>
    <w:rsid w:val="00752354"/>
    <w:rsid w:val="007541FA"/>
    <w:rsid w:val="00760D25"/>
    <w:rsid w:val="00786426"/>
    <w:rsid w:val="007A2356"/>
    <w:rsid w:val="007A7335"/>
    <w:rsid w:val="007D3CC4"/>
    <w:rsid w:val="007D4D9B"/>
    <w:rsid w:val="007E3BE3"/>
    <w:rsid w:val="00817290"/>
    <w:rsid w:val="00834BB9"/>
    <w:rsid w:val="00843C8A"/>
    <w:rsid w:val="008A5AAE"/>
    <w:rsid w:val="008C2294"/>
    <w:rsid w:val="008D5263"/>
    <w:rsid w:val="008E6F9C"/>
    <w:rsid w:val="008F54FF"/>
    <w:rsid w:val="00900413"/>
    <w:rsid w:val="00953D0B"/>
    <w:rsid w:val="00953E9E"/>
    <w:rsid w:val="00961BF9"/>
    <w:rsid w:val="0096361D"/>
    <w:rsid w:val="00964A76"/>
    <w:rsid w:val="009A1407"/>
    <w:rsid w:val="009A4279"/>
    <w:rsid w:val="009C12A9"/>
    <w:rsid w:val="009C6099"/>
    <w:rsid w:val="009F10BC"/>
    <w:rsid w:val="009F6FCB"/>
    <w:rsid w:val="00A05E6A"/>
    <w:rsid w:val="00A255BB"/>
    <w:rsid w:val="00A45AB1"/>
    <w:rsid w:val="00A62FD1"/>
    <w:rsid w:val="00A6669B"/>
    <w:rsid w:val="00A74A53"/>
    <w:rsid w:val="00A74EA1"/>
    <w:rsid w:val="00A8544E"/>
    <w:rsid w:val="00A96387"/>
    <w:rsid w:val="00AA0123"/>
    <w:rsid w:val="00AB0DC9"/>
    <w:rsid w:val="00AB6ED7"/>
    <w:rsid w:val="00AC1498"/>
    <w:rsid w:val="00AD6782"/>
    <w:rsid w:val="00AF6F4F"/>
    <w:rsid w:val="00B1510A"/>
    <w:rsid w:val="00B27FCB"/>
    <w:rsid w:val="00B31C2C"/>
    <w:rsid w:val="00B36B65"/>
    <w:rsid w:val="00B41027"/>
    <w:rsid w:val="00B5399E"/>
    <w:rsid w:val="00B72BE6"/>
    <w:rsid w:val="00B732CF"/>
    <w:rsid w:val="00B73D94"/>
    <w:rsid w:val="00B91E28"/>
    <w:rsid w:val="00B93FA8"/>
    <w:rsid w:val="00B94753"/>
    <w:rsid w:val="00BB3616"/>
    <w:rsid w:val="00BB3B7D"/>
    <w:rsid w:val="00BD32B2"/>
    <w:rsid w:val="00BE58D0"/>
    <w:rsid w:val="00C36E2B"/>
    <w:rsid w:val="00C50777"/>
    <w:rsid w:val="00C6476F"/>
    <w:rsid w:val="00C85CCF"/>
    <w:rsid w:val="00C93003"/>
    <w:rsid w:val="00CA2878"/>
    <w:rsid w:val="00CB3299"/>
    <w:rsid w:val="00CB7036"/>
    <w:rsid w:val="00CC0EC5"/>
    <w:rsid w:val="00CC6752"/>
    <w:rsid w:val="00CC7446"/>
    <w:rsid w:val="00CD1242"/>
    <w:rsid w:val="00CE1458"/>
    <w:rsid w:val="00D04972"/>
    <w:rsid w:val="00D17B05"/>
    <w:rsid w:val="00D3065D"/>
    <w:rsid w:val="00D4285C"/>
    <w:rsid w:val="00D71CDE"/>
    <w:rsid w:val="00D86FF0"/>
    <w:rsid w:val="00D93B3E"/>
    <w:rsid w:val="00D97575"/>
    <w:rsid w:val="00DC452B"/>
    <w:rsid w:val="00DF29EF"/>
    <w:rsid w:val="00DF4D1F"/>
    <w:rsid w:val="00E06E89"/>
    <w:rsid w:val="00E1144A"/>
    <w:rsid w:val="00E11A19"/>
    <w:rsid w:val="00E13E36"/>
    <w:rsid w:val="00E36128"/>
    <w:rsid w:val="00E50261"/>
    <w:rsid w:val="00E54B7A"/>
    <w:rsid w:val="00E579B5"/>
    <w:rsid w:val="00E72E4F"/>
    <w:rsid w:val="00E77298"/>
    <w:rsid w:val="00E91886"/>
    <w:rsid w:val="00ED59F8"/>
    <w:rsid w:val="00EE15A2"/>
    <w:rsid w:val="00EE3D08"/>
    <w:rsid w:val="00EF0A0B"/>
    <w:rsid w:val="00F17105"/>
    <w:rsid w:val="00F63E8C"/>
    <w:rsid w:val="00F656A6"/>
    <w:rsid w:val="00F75EA2"/>
    <w:rsid w:val="00F829D2"/>
    <w:rsid w:val="00F839A5"/>
    <w:rsid w:val="00FA5B33"/>
    <w:rsid w:val="00FB3022"/>
    <w:rsid w:val="00FC0946"/>
    <w:rsid w:val="00FC12B0"/>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D02F7"/>
  <w15:docId w15:val="{9F36710C-7949-448E-82BB-657E67B12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49514A2D-8D43-49A0-816C-3B8A14FBA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873</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4</cp:revision>
  <cp:lastPrinted>2016-06-01T08:13:00Z</cp:lastPrinted>
  <dcterms:created xsi:type="dcterms:W3CDTF">2024-12-03T20:21:00Z</dcterms:created>
  <dcterms:modified xsi:type="dcterms:W3CDTF">2024-12-09T10:03:00Z</dcterms:modified>
</cp:coreProperties>
</file>