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D954BB" w14:paraId="15A1E7FF" w14:textId="77777777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B78BA95" w14:textId="77777777" w:rsidR="00421F85" w:rsidRPr="00D954B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043D3370" wp14:editId="07764D6B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119AD88C" w14:textId="77777777" w:rsidR="00234EBE" w:rsidRPr="003D4025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UNIVERSITY OF EAST SARAJEVO</w:t>
            </w:r>
          </w:p>
          <w:p w14:paraId="7C72346B" w14:textId="77777777" w:rsidR="00421F85" w:rsidRPr="00D954BB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Faculty of Medicine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14:paraId="4451EA9A" w14:textId="77777777" w:rsidR="00421F85" w:rsidRPr="00D954BB" w:rsidRDefault="00A4197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65D6A910" wp14:editId="7720C9AA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954BB" w14:paraId="754E524A" w14:textId="77777777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F4DD123" w14:textId="77777777" w:rsidR="00421F85" w:rsidRPr="00D954B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675D320F" w14:textId="3991B104" w:rsidR="00421F85" w:rsidRPr="00D954BB" w:rsidRDefault="000E74C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 xml:space="preserve">Study program: </w:t>
            </w:r>
            <w:r w:rsidR="00234EBE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14:paraId="7D565D82" w14:textId="77777777" w:rsidR="00421F85" w:rsidRPr="00D954B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954BB" w14:paraId="3708C0BC" w14:textId="77777777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7C9B5" w14:textId="77777777" w:rsidR="00421F85" w:rsidRPr="00D954B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DC20317" w14:textId="41992615" w:rsidR="00421F85" w:rsidRPr="000E74CF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0E74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6FD5722" w14:textId="3128A36A" w:rsidR="00421F85" w:rsidRPr="000E74CF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E74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30047BA9" w14:textId="77777777" w:rsidR="00421F85" w:rsidRPr="00D954B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4EBE" w:rsidRPr="00D954BB" w14:paraId="70756E5B" w14:textId="77777777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5D6CAEE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Full subject title</w:t>
            </w:r>
          </w:p>
        </w:tc>
        <w:tc>
          <w:tcPr>
            <w:tcW w:w="7559" w:type="dxa"/>
            <w:gridSpan w:val="15"/>
            <w:vAlign w:val="center"/>
          </w:tcPr>
          <w:p w14:paraId="7C33F61B" w14:textId="399AECAC" w:rsidR="00234EBE" w:rsidRPr="00D954BB" w:rsidRDefault="00BB2BD2" w:rsidP="00234E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34E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PROTECTION IN THE WORKPLACE AND PATIENT SAFETY</w:t>
            </w:r>
          </w:p>
        </w:tc>
      </w:tr>
      <w:tr w:rsidR="00234EBE" w:rsidRPr="00D954BB" w14:paraId="75571B2D" w14:textId="77777777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77F55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Department</w:t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14:paraId="747CDDD5" w14:textId="77777777" w:rsidR="00234EBE" w:rsidRPr="00D954BB" w:rsidRDefault="00234EBE" w:rsidP="00234EB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 xml:space="preserve">Department of Primary Health Care and Public Health, Faculty of Medicine </w:t>
            </w:r>
            <w:proofErr w:type="spellStart"/>
            <w:r w:rsidRPr="003D4025">
              <w:rPr>
                <w:rFonts w:ascii="Arial Narrow" w:hAnsi="Arial Narrow" w:cs="Times New Roman"/>
                <w:sz w:val="20"/>
                <w:szCs w:val="20"/>
              </w:rPr>
              <w:t>Foča</w:t>
            </w:r>
            <w:proofErr w:type="spellEnd"/>
          </w:p>
        </w:tc>
      </w:tr>
      <w:tr w:rsidR="00234EBE" w:rsidRPr="00D954BB" w14:paraId="3FE2859B" w14:textId="77777777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9BA95A5" w14:textId="77777777" w:rsidR="00234EBE" w:rsidRPr="007F4E56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60B9E00" w14:textId="77777777" w:rsidR="00234EBE" w:rsidRPr="007F4E56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6B955A5" w14:textId="77777777" w:rsidR="00234EBE" w:rsidRPr="007F4E56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7F17674A" w14:textId="77777777" w:rsidR="00234EBE" w:rsidRPr="007F4E56" w:rsidRDefault="00234EBE" w:rsidP="00234EB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ECTS</w:t>
            </w:r>
          </w:p>
        </w:tc>
      </w:tr>
      <w:tr w:rsidR="007A7335" w:rsidRPr="00D954BB" w14:paraId="0F22365E" w14:textId="77777777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2C71BC" w14:textId="77777777"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1EBF" w14:textId="77777777"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EC837E" w14:textId="77777777"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D473A" w14:textId="77777777"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D954BB" w14:paraId="146E921A" w14:textId="77777777" w:rsidTr="00364F7B">
        <w:tc>
          <w:tcPr>
            <w:tcW w:w="2943" w:type="dxa"/>
            <w:gridSpan w:val="6"/>
            <w:shd w:val="clear" w:color="auto" w:fill="auto"/>
            <w:vAlign w:val="center"/>
          </w:tcPr>
          <w:p w14:paraId="2E8C73C4" w14:textId="082E4D4D" w:rsidR="000D2304" w:rsidRPr="00D954BB" w:rsidRDefault="00FB03B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A8476B">
              <w:rPr>
                <w:rFonts w:ascii="Arial Narrow" w:hAnsi="Arial Narrow" w:cs="Times New Roman"/>
                <w:sz w:val="20"/>
                <w:szCs w:val="20"/>
              </w:rPr>
              <w:t>-05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</w:rPr>
              <w:t>-1-020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D41E1D8" w14:textId="77777777" w:rsidR="000D2304" w:rsidRPr="00D954BB" w:rsidRDefault="00234EB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2112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compulsory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3820BC9" w14:textId="77777777" w:rsidR="000D2304" w:rsidRPr="00D954B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14:paraId="6F0B0292" w14:textId="4F9E015E" w:rsidR="000D2304" w:rsidRPr="00D954BB" w:rsidRDefault="00BC74B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234EBE" w:rsidRPr="00D954BB" w14:paraId="5DA0E4F6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0E7BB0C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Professor/ -s</w:t>
            </w:r>
          </w:p>
        </w:tc>
        <w:tc>
          <w:tcPr>
            <w:tcW w:w="7939" w:type="dxa"/>
            <w:gridSpan w:val="16"/>
            <w:vAlign w:val="center"/>
          </w:tcPr>
          <w:p w14:paraId="04FF9FC4" w14:textId="55D4E9C5" w:rsidR="00234EBE" w:rsidRPr="00BC74B2" w:rsidRDefault="00BC74B2" w:rsidP="00234EBE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BA"/>
              </w:rPr>
            </w:pPr>
            <w:r w:rsidRPr="00BC74B2">
              <w:rPr>
                <w:rFonts w:ascii="Arial Narrow" w:hAnsi="Arial Narrow"/>
                <w:noProof/>
                <w:sz w:val="20"/>
                <w:szCs w:val="20"/>
              </w:rPr>
              <w:t xml:space="preserve">Assistant professor Martin Popević, PhD </w:t>
            </w:r>
          </w:p>
        </w:tc>
      </w:tr>
      <w:tr w:rsidR="00234EBE" w:rsidRPr="00D954BB" w14:paraId="387B415D" w14:textId="7777777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CAB81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Associate/ - 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49CC2A30" w14:textId="7E34A5DF" w:rsidR="00234EBE" w:rsidRPr="00BC74B2" w:rsidRDefault="00BC74B2" w:rsidP="00234EBE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C74B2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>A</w:t>
            </w:r>
            <w:r w:rsidRPr="00BC74B2">
              <w:rPr>
                <w:rFonts w:ascii="Arial Narrow" w:hAnsi="Arial Narrow"/>
                <w:noProof/>
                <w:sz w:val="20"/>
                <w:szCs w:val="20"/>
              </w:rPr>
              <w:t xml:space="preserve">ssistant Mirka Jojić </w:t>
            </w:r>
          </w:p>
        </w:tc>
      </w:tr>
      <w:tr w:rsidR="00234EBE" w:rsidRPr="00D954BB" w14:paraId="2E6836F6" w14:textId="77777777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76E7D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Number of lectur</w:t>
            </w:r>
            <w:r>
              <w:rPr>
                <w:rFonts w:ascii="Arial Narrow" w:eastAsia="Calibri" w:hAnsi="Arial Narrow"/>
                <w:b/>
                <w:sz w:val="20"/>
                <w:szCs w:val="20"/>
              </w:rPr>
              <w:t>es/ teaching workload (per week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6AC38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9AF18" w14:textId="77777777" w:rsidR="00234EBE" w:rsidRDefault="00234EBE" w:rsidP="00234E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282F01E3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34EBE" w:rsidRPr="00D954BB" w14:paraId="5AEA91A3" w14:textId="77777777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F113882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2B1B576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68B286F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39B2FD9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3877C9D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14:paraId="7FC45245" w14:textId="77777777" w:rsidR="00234EBE" w:rsidRPr="007F4E56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29952CF6" w14:textId="77777777" w:rsidR="00234EBE" w:rsidRPr="00D954BB" w:rsidRDefault="00234EBE" w:rsidP="00234EB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D954BB" w14:paraId="011B4E3D" w14:textId="77777777" w:rsidTr="00364F7B">
        <w:tc>
          <w:tcPr>
            <w:tcW w:w="1242" w:type="dxa"/>
            <w:shd w:val="clear" w:color="auto" w:fill="auto"/>
            <w:vAlign w:val="center"/>
          </w:tcPr>
          <w:p w14:paraId="73E203DC" w14:textId="77777777" w:rsidR="0071623A" w:rsidRPr="00D954BB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0BB1378" w14:textId="77777777"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E6C8DE" w14:textId="77777777"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7B4EA88" w14:textId="77777777" w:rsidR="0071623A" w:rsidRPr="00D954BB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2961CE0" w14:textId="77777777"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14:paraId="33DEA36E" w14:textId="77777777"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F307592" w14:textId="77777777" w:rsidR="0071623A" w:rsidRPr="00D954BB" w:rsidRDefault="003C0290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66</w:t>
            </w:r>
          </w:p>
        </w:tc>
      </w:tr>
      <w:tr w:rsidR="000D2304" w:rsidRPr="00D954BB" w14:paraId="2091968A" w14:textId="77777777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538BB" w14:textId="77777777" w:rsidR="00234EBE" w:rsidRPr="003D4025" w:rsidRDefault="00234EBE" w:rsidP="00234EB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teaching workload (in hours, per semester) </w:t>
            </w:r>
          </w:p>
          <w:p w14:paraId="6AAE04BF" w14:textId="1AC43782" w:rsidR="000D2304" w:rsidRPr="00D954BB" w:rsidRDefault="00BC74B2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D17F45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8FC2D" w14:textId="77777777" w:rsidR="00234EBE" w:rsidRPr="003D4025" w:rsidRDefault="00234EBE" w:rsidP="00234EB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</w:t>
            </w:r>
            <w:r>
              <w:rPr>
                <w:rFonts w:ascii="Arial Narrow" w:eastAsia="Calibri" w:hAnsi="Arial Narrow"/>
                <w:sz w:val="20"/>
                <w:szCs w:val="20"/>
              </w:rPr>
              <w:t>student</w:t>
            </w: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 workload (in hours, per semester) </w:t>
            </w:r>
          </w:p>
          <w:p w14:paraId="5AEF11FA" w14:textId="77777777" w:rsidR="000D2304" w:rsidRPr="00D954BB" w:rsidRDefault="00E8138B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17F45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D954BB" w14:paraId="633E4F43" w14:textId="7777777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8E322" w14:textId="20A9089C" w:rsidR="000D2304" w:rsidRPr="00D954BB" w:rsidRDefault="00234EBE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</w:rPr>
              <w:t xml:space="preserve">Total subject workload (teaching + student): </w:t>
            </w:r>
            <w:r w:rsidR="00BC74B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D494F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BC74B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105 </w:t>
            </w:r>
            <w:r w:rsidRPr="003D4025">
              <w:rPr>
                <w:rFonts w:ascii="Arial Narrow" w:eastAsia="Calibri" w:hAnsi="Arial Narrow"/>
                <w:sz w:val="20"/>
                <w:szCs w:val="20"/>
              </w:rPr>
              <w:t>hours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per semester</w:t>
            </w:r>
          </w:p>
        </w:tc>
      </w:tr>
      <w:tr w:rsidR="00234EBE" w:rsidRPr="00D954BB" w14:paraId="0DDB2CDB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873BB38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14:paraId="3AE2332D" w14:textId="77777777" w:rsidR="00234EBE" w:rsidRPr="00D954BB" w:rsidRDefault="00234EBE" w:rsidP="00234E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14:paraId="12D22B67" w14:textId="77777777" w:rsidR="00234EBE" w:rsidRPr="00234EBE" w:rsidRDefault="00234EBE" w:rsidP="00234EB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34EBE">
              <w:rPr>
                <w:rFonts w:ascii="Arial Narrow" w:hAnsi="Arial Narrow"/>
                <w:sz w:val="20"/>
                <w:szCs w:val="20"/>
                <w:lang w:val="sr-Cyrl-CS"/>
              </w:rPr>
              <w:t>After attending and passing the exam:</w:t>
            </w:r>
          </w:p>
          <w:p w14:paraId="23D7D108" w14:textId="77777777" w:rsidR="00234EBE" w:rsidRPr="00234EBE" w:rsidRDefault="00234EBE" w:rsidP="00234EB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14:paraId="297AE5BE" w14:textId="77777777" w:rsidR="00234EBE" w:rsidRPr="00234EBE" w:rsidRDefault="00234EBE" w:rsidP="00234EBE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34EBE">
              <w:rPr>
                <w:rFonts w:ascii="Arial Narrow" w:hAnsi="Arial Narrow"/>
                <w:sz w:val="20"/>
                <w:szCs w:val="20"/>
                <w:lang w:val="sr-Cyrl-CS"/>
              </w:rPr>
              <w:t>Students should acquire knowledge of the organisation of occupational medicine.</w:t>
            </w:r>
          </w:p>
          <w:p w14:paraId="6ACC6896" w14:textId="77777777" w:rsidR="00234EBE" w:rsidRPr="00234EBE" w:rsidRDefault="00234EBE" w:rsidP="00234EBE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34EBE">
              <w:rPr>
                <w:rFonts w:ascii="Arial Narrow" w:hAnsi="Arial Narrow"/>
                <w:sz w:val="20"/>
                <w:szCs w:val="20"/>
                <w:lang w:val="sr-Cyrl-CS"/>
              </w:rPr>
              <w:t>They should learn about occupational hazards, health impairments, and health protection in the workplace.</w:t>
            </w:r>
          </w:p>
          <w:p w14:paraId="3ED53608" w14:textId="77777777" w:rsidR="00234EBE" w:rsidRPr="00234EBE" w:rsidRDefault="00234EBE" w:rsidP="00234EBE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34EBE">
              <w:rPr>
                <w:rFonts w:ascii="Arial Narrow" w:hAnsi="Arial Narrow"/>
                <w:sz w:val="20"/>
                <w:szCs w:val="20"/>
                <w:lang w:val="sr-Cyrl-CS"/>
              </w:rPr>
              <w:t>Students should develop skills related to examining and assessing working environment conditions, occupational diseases, and poisonings.</w:t>
            </w:r>
          </w:p>
          <w:p w14:paraId="1486AE58" w14:textId="77777777" w:rsidR="00234EBE" w:rsidRPr="00234EBE" w:rsidRDefault="00234EBE" w:rsidP="00234EB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 w:rsidRPr="00234EBE">
              <w:rPr>
                <w:rFonts w:ascii="Arial Narrow" w:hAnsi="Arial Narrow"/>
                <w:sz w:val="20"/>
                <w:szCs w:val="20"/>
                <w:lang w:val="sr-Cyrl-CS"/>
              </w:rPr>
              <w:t>They should understand the prevention of work incapacity and the application of preventive workplace safety measures.</w:t>
            </w:r>
          </w:p>
        </w:tc>
      </w:tr>
      <w:tr w:rsidR="00234EBE" w:rsidRPr="00D954BB" w14:paraId="6E80EF57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C547A98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6"/>
            <w:vAlign w:val="center"/>
          </w:tcPr>
          <w:p w14:paraId="3FEFD310" w14:textId="77777777" w:rsidR="00234EBE" w:rsidRPr="00D954BB" w:rsidRDefault="00234EBE" w:rsidP="00234EB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No preconditions</w:t>
            </w:r>
          </w:p>
        </w:tc>
      </w:tr>
      <w:tr w:rsidR="00234EBE" w:rsidRPr="00D954BB" w14:paraId="21234C20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36AD756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6"/>
            <w:vAlign w:val="center"/>
          </w:tcPr>
          <w:p w14:paraId="14D3EC77" w14:textId="77777777" w:rsidR="00234EBE" w:rsidRPr="00D954BB" w:rsidRDefault="00234EBE" w:rsidP="00234E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B17A6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Lectures, exercises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seminar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3D4025">
              <w:rPr>
                <w:rFonts w:ascii="Arial Narrow" w:hAnsi="Arial Narrow" w:cs="Times New Roman"/>
                <w:sz w:val="20"/>
                <w:szCs w:val="20"/>
              </w:rPr>
              <w:t>colloquium</w:t>
            </w:r>
          </w:p>
        </w:tc>
      </w:tr>
      <w:tr w:rsidR="00234EBE" w:rsidRPr="00D954BB" w14:paraId="04232C0D" w14:textId="7777777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C389F" w14:textId="77777777" w:rsidR="00234EBE" w:rsidRPr="007F4E56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55851329" w14:textId="77777777" w:rsidR="00234EBE" w:rsidRPr="00D954BB" w:rsidRDefault="00234EBE" w:rsidP="00234EB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Lectures</w:t>
            </w: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14:paraId="6D3CFF35" w14:textId="77777777" w:rsidR="00234EBE" w:rsidRPr="00D954BB" w:rsidRDefault="00234EBE" w:rsidP="00234E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14:paraId="581782FF" w14:textId="77777777" w:rsidR="00234EBE" w:rsidRPr="00234EBE" w:rsidRDefault="00234EBE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34EBE">
              <w:rPr>
                <w:rFonts w:ascii="Arial Narrow" w:hAnsi="Arial Narrow"/>
                <w:sz w:val="20"/>
                <w:szCs w:val="20"/>
              </w:rPr>
              <w:t xml:space="preserve">Subject, Objectives, and </w:t>
            </w:r>
            <w:proofErr w:type="spellStart"/>
            <w:r w:rsidRPr="00234EBE">
              <w:rPr>
                <w:rFonts w:ascii="Arial Narrow" w:hAnsi="Arial Narrow"/>
                <w:sz w:val="20"/>
                <w:szCs w:val="20"/>
              </w:rPr>
              <w:t>Organisation</w:t>
            </w:r>
            <w:proofErr w:type="spellEnd"/>
            <w:r w:rsidRPr="00234EBE">
              <w:rPr>
                <w:rFonts w:ascii="Arial Narrow" w:hAnsi="Arial Narrow"/>
                <w:sz w:val="20"/>
                <w:szCs w:val="20"/>
              </w:rPr>
              <w:t xml:space="preserve"> of Occupational Medicine</w:t>
            </w:r>
          </w:p>
          <w:p w14:paraId="19095C76" w14:textId="77777777" w:rsidR="009C28B7" w:rsidRDefault="00234EBE" w:rsidP="00AD392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34EBE">
              <w:rPr>
                <w:rFonts w:ascii="Arial Narrow" w:hAnsi="Arial Narrow"/>
                <w:sz w:val="20"/>
                <w:szCs w:val="20"/>
              </w:rPr>
              <w:t>Scope of occupational medicine activities in our country and abroad.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Lists of occupational diseases.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Workers' rights related to occupational diseases and workplace injuries.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The most common occupational diseases among healthcare workers.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Basic concepts of work physiology.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Bioenergetics during work.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Adaptation of the cardiovascular, respiratory, and locomotor systems to physical work.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Fatigue and overfatigue.</w:t>
            </w:r>
            <w:r w:rsidR="009C28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</w:rPr>
              <w:t>Measures for preventing fatigue and overfatigue.</w:t>
            </w:r>
          </w:p>
          <w:p w14:paraId="172CDCF5" w14:textId="77777777" w:rsidR="009C28B7" w:rsidRDefault="009C28B7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Occupational Stress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Types of occupational stress.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Workplace bullying (mobbing).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The impact of working conditions on the health of women and youth.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Medical and legal measures for protecting women and youth in the workplace.</w:t>
            </w:r>
          </w:p>
          <w:p w14:paraId="2F255E6C" w14:textId="77777777" w:rsidR="009C28B7" w:rsidRPr="009C28B7" w:rsidRDefault="009C28B7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Ionising and non-ionising radiation in the workplace, permissible radiation doses, sources of ionising radiation in healthcare, monitoring of ionising radiation in the workplace and the environment, acute and chronic radiation syndrome.</w:t>
            </w:r>
          </w:p>
          <w:p w14:paraId="47A430A6" w14:textId="77777777" w:rsidR="009C28B7" w:rsidRPr="009C28B7" w:rsidRDefault="009C28B7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Occupational respiratory diseases, dust as an occupational hazard, pneumoconioses: silicosis, asbestosis, coal workers' pneumoconiosis, technical and medical preventive measures for pneumoconioses.</w:t>
            </w:r>
          </w:p>
          <w:p w14:paraId="00EB1ADD" w14:textId="77777777" w:rsidR="009C28B7" w:rsidRPr="009C28B7" w:rsidRDefault="009C28B7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Respiratory irritants, occupational asthma, occupational chronic obstructive pulmonary disease, byssinosis, and occupational hypersensitivity pneumonitis.</w:t>
            </w:r>
          </w:p>
          <w:p w14:paraId="5672397F" w14:textId="77777777" w:rsidR="009C28B7" w:rsidRDefault="009C28B7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Occupational Toxicology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Basic characteristics of occupational intoxications.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C28B7">
              <w:rPr>
                <w:rFonts w:ascii="Arial Narrow" w:hAnsi="Arial Narrow"/>
                <w:sz w:val="20"/>
                <w:szCs w:val="20"/>
                <w:lang w:val="sr-Cyrl-CS"/>
              </w:rPr>
              <w:t>Metal intoxications and their compounds.</w:t>
            </w:r>
          </w:p>
          <w:p w14:paraId="7714933A" w14:textId="77777777" w:rsidR="001911C6" w:rsidRDefault="001911C6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911C6">
              <w:rPr>
                <w:rFonts w:ascii="Arial Narrow" w:hAnsi="Arial Narrow"/>
                <w:sz w:val="20"/>
                <w:szCs w:val="20"/>
                <w:lang w:val="sr-Cyrl-CS"/>
              </w:rPr>
              <w:t>Occupational poisoning by toxic gases and protective measures.</w:t>
            </w:r>
          </w:p>
          <w:p w14:paraId="6B61186C" w14:textId="77777777" w:rsidR="001911C6" w:rsidRPr="001911C6" w:rsidRDefault="001911C6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911C6">
              <w:rPr>
                <w:rFonts w:ascii="Arial Narrow" w:hAnsi="Arial Narrow"/>
                <w:sz w:val="20"/>
                <w:szCs w:val="20"/>
                <w:lang w:val="sr-Cyrl-CS"/>
              </w:rPr>
              <w:t>Occupational poisoning by organic solvents.</w:t>
            </w:r>
          </w:p>
          <w:p w14:paraId="06F2C6EC" w14:textId="77777777" w:rsidR="001911C6" w:rsidRDefault="001911C6" w:rsidP="00AD392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911C6">
              <w:rPr>
                <w:rFonts w:ascii="Arial Narrow" w:hAnsi="Arial Narrow"/>
                <w:sz w:val="20"/>
                <w:szCs w:val="20"/>
                <w:lang w:val="sr-Cyrl-CS"/>
              </w:rPr>
              <w:t>Occupational poisoning by pesticides and protective measures.</w:t>
            </w:r>
          </w:p>
          <w:p w14:paraId="2AC5FD90" w14:textId="77777777" w:rsidR="001911C6" w:rsidRDefault="001911C6" w:rsidP="00AD392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911C6">
              <w:rPr>
                <w:rFonts w:ascii="Arial Narrow" w:hAnsi="Arial Narrow"/>
                <w:sz w:val="20"/>
                <w:szCs w:val="20"/>
                <w:lang w:val="sr-Cyrl-CS"/>
              </w:rPr>
              <w:t>Harmful effects of noise and vibration on workers' bodies.</w:t>
            </w:r>
          </w:p>
          <w:p w14:paraId="089D4F23" w14:textId="77777777" w:rsidR="001911C6" w:rsidRPr="001911C6" w:rsidRDefault="001911C6" w:rsidP="00AD392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911C6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Occupational skin diseases.</w:t>
            </w:r>
          </w:p>
          <w:p w14:paraId="15F1B2AE" w14:textId="77777777" w:rsidR="00234EBE" w:rsidRPr="00D954BB" w:rsidRDefault="00234EBE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Професионални трауматизам. Узроци и извори повреда на раду. Индекси фреквенције и тежине повреда на раду. Превенција повреда на раду. Медицинске и техничке мјере превенције. Лична заштитна средства.</w:t>
            </w:r>
          </w:p>
          <w:p w14:paraId="74608331" w14:textId="77777777" w:rsidR="00B0165B" w:rsidRDefault="00B0165B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Work-Related Diseases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Definitions and classifications by the World Health Organization.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Causes of work-related diseases.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Ergonomics in the workplace.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The importance of ergonomics for disease prevention and maintaining work capacity.</w:t>
            </w:r>
            <w:r w:rsidR="00234EBE" w:rsidRPr="00B016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14:paraId="3595E1AB" w14:textId="77777777" w:rsidR="00B0165B" w:rsidRDefault="00B0165B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Working Conditions, Risks, and Requirements in Healthcare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Specific issues related to the protection of healthcare workers.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Assessment of work capacity – general principles.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Indications for work capacity assessment.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165B">
              <w:rPr>
                <w:rFonts w:ascii="Arial Narrow" w:hAnsi="Arial Narrow"/>
                <w:sz w:val="20"/>
                <w:szCs w:val="20"/>
                <w:lang w:val="sr-Cyrl-CS"/>
              </w:rPr>
              <w:t>Legal regulations in the Republic of Srpska and surrounding countries.</w:t>
            </w:r>
          </w:p>
          <w:p w14:paraId="51FF2221" w14:textId="77777777" w:rsidR="006E6B71" w:rsidRPr="006E6B71" w:rsidRDefault="006E6B71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E6B71">
              <w:rPr>
                <w:rFonts w:ascii="Arial Narrow" w:hAnsi="Arial Narrow"/>
                <w:sz w:val="20"/>
                <w:szCs w:val="20"/>
                <w:lang w:val="sr-Cyrl-CS"/>
              </w:rPr>
              <w:t>Assessment of temporary and permanent work incapacity in patients with the most common cardiovascular, respiratory, psychiatric, and other diseases.</w:t>
            </w:r>
          </w:p>
          <w:p w14:paraId="43CD30FE" w14:textId="77777777" w:rsidR="006E6B71" w:rsidRPr="006E6B71" w:rsidRDefault="006E6B71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E6B71">
              <w:rPr>
                <w:rFonts w:ascii="Arial Narrow" w:hAnsi="Arial Narrow"/>
                <w:sz w:val="20"/>
                <w:szCs w:val="20"/>
                <w:lang w:val="sr-Cyrl-CS"/>
              </w:rPr>
              <w:t>Risk Assessment in the Workplace and Working Environment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6E6B71">
              <w:rPr>
                <w:rFonts w:ascii="Arial Narrow" w:hAnsi="Arial Narrow"/>
                <w:sz w:val="20"/>
                <w:szCs w:val="20"/>
                <w:lang w:val="sr-Cyrl-CS"/>
              </w:rPr>
              <w:t>Types of risks, domestic regulations, and European Union directives.</w:t>
            </w:r>
          </w:p>
          <w:p w14:paraId="31DD546B" w14:textId="77777777" w:rsidR="006E6B71" w:rsidRPr="006E6B71" w:rsidRDefault="006E6B71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E6B71">
              <w:rPr>
                <w:rFonts w:ascii="Arial Narrow" w:hAnsi="Arial Narrow"/>
                <w:sz w:val="20"/>
                <w:szCs w:val="20"/>
                <w:lang w:val="sr-Cyrl-CS"/>
              </w:rPr>
              <w:t>Development of Risk Assessment Documents for the Workplace and Working Environment</w:t>
            </w:r>
            <w:r w:rsidR="00DB07A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2FC660A" w14:textId="77777777" w:rsidR="00234EBE" w:rsidRPr="00D954BB" w:rsidRDefault="006E6B71" w:rsidP="00AD392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E6B71">
              <w:rPr>
                <w:rFonts w:ascii="Arial Narrow" w:hAnsi="Arial Narrow"/>
                <w:sz w:val="20"/>
                <w:szCs w:val="20"/>
                <w:lang w:val="sr-Cyrl-CS"/>
              </w:rPr>
              <w:t>Control and risk management in healthcare.</w:t>
            </w:r>
          </w:p>
          <w:p w14:paraId="77E346F3" w14:textId="77777777" w:rsidR="00DB07A5" w:rsidRPr="00DB07A5" w:rsidRDefault="00DB07A5" w:rsidP="00AD392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B07A5">
              <w:rPr>
                <w:rFonts w:ascii="Arial Narrow" w:hAnsi="Arial Narrow"/>
                <w:sz w:val="20"/>
                <w:szCs w:val="20"/>
                <w:lang w:val="sr-Cyrl-CS"/>
              </w:rPr>
              <w:t>Domestic and International Regulations and Recommendations for Occupational Health</w:t>
            </w:r>
          </w:p>
          <w:p w14:paraId="6525D6C1" w14:textId="77777777" w:rsidR="00234EBE" w:rsidRPr="00D954BB" w:rsidRDefault="00DB07A5" w:rsidP="00AD392D">
            <w:pPr>
              <w:ind w:left="7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B07A5">
              <w:rPr>
                <w:rFonts w:ascii="Arial Narrow" w:hAnsi="Arial Narrow"/>
                <w:sz w:val="20"/>
                <w:szCs w:val="20"/>
                <w:lang w:val="sr-Cyrl-CS"/>
              </w:rPr>
              <w:t>Recommendations from the World Health Organization, International Labour Organization conventions, and European Union directives.</w:t>
            </w:r>
          </w:p>
          <w:p w14:paraId="77AC9B54" w14:textId="77777777" w:rsidR="00234EBE" w:rsidRPr="00D954BB" w:rsidRDefault="00BC0C4B" w:rsidP="00AD392D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Exercises</w:t>
            </w:r>
            <w:r w:rsidR="00234EBE" w:rsidRPr="00D954B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14:paraId="33CFD0F7" w14:textId="77777777" w:rsidR="00234EBE" w:rsidRPr="00D954BB" w:rsidRDefault="00234EBE" w:rsidP="00AD392D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14:paraId="4690597D" w14:textId="77777777" w:rsidR="00BC0C4B" w:rsidRPr="00BC0C4B" w:rsidRDefault="00BC0C4B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C0C4B">
              <w:rPr>
                <w:rFonts w:ascii="Arial Narrow" w:hAnsi="Arial Narrow"/>
                <w:sz w:val="20"/>
                <w:szCs w:val="20"/>
                <w:lang w:val="sr-Cyrl-CS"/>
              </w:rPr>
              <w:t>Occupational History and Specificities of Examining Workers with Occupational Diseases</w:t>
            </w:r>
          </w:p>
          <w:p w14:paraId="2AC5EE5F" w14:textId="77777777" w:rsidR="00BC0C4B" w:rsidRPr="00BC0C4B" w:rsidRDefault="00BC0C4B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C0C4B">
              <w:rPr>
                <w:rFonts w:ascii="Arial Narrow" w:hAnsi="Arial Narrow"/>
                <w:sz w:val="20"/>
                <w:szCs w:val="20"/>
                <w:lang w:val="sr-Cyrl-CS"/>
              </w:rPr>
              <w:t>Occupational Ha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zards and Risks in the Workplace. </w:t>
            </w:r>
            <w:r w:rsidRPr="00BC0C4B">
              <w:rPr>
                <w:rFonts w:ascii="Arial Narrow" w:hAnsi="Arial Narrow"/>
                <w:sz w:val="20"/>
                <w:szCs w:val="20"/>
                <w:lang w:val="sr-Cyrl-CS"/>
              </w:rPr>
              <w:t>Analysis and evaluation of microclimate measurements, dust, and chemical hazards in the working environment.</w:t>
            </w:r>
          </w:p>
          <w:p w14:paraId="065683D0" w14:textId="77777777" w:rsidR="00BC0C4B" w:rsidRDefault="00BC0C4B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C0C4B">
              <w:rPr>
                <w:rFonts w:ascii="Arial Narrow" w:hAnsi="Arial Narrow"/>
                <w:sz w:val="20"/>
                <w:szCs w:val="20"/>
                <w:lang w:val="sr-Cyrl-CS"/>
              </w:rPr>
              <w:t>Presentation and Evaluation of Noise Measurement Results in the Workplace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C0C4B">
              <w:rPr>
                <w:rFonts w:ascii="Arial Narrow" w:hAnsi="Arial Narrow"/>
                <w:sz w:val="20"/>
                <w:szCs w:val="20"/>
                <w:lang w:val="sr-Cyrl-CS"/>
              </w:rPr>
              <w:t>Presentation of audiometric findings in cases of occupational hearing impairment.</w:t>
            </w:r>
          </w:p>
          <w:p w14:paraId="400B791C" w14:textId="77777777" w:rsidR="00B457F1" w:rsidRP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Workplace Safety Measures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collective and personal protective equipment in the workplace.</w:t>
            </w:r>
          </w:p>
          <w:p w14:paraId="13320A01" w14:textId="77777777" w:rsid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Medical Findings in Individuals Exposed to Ionising Radiation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film and TLD dosimeters and radiation dose measurement results.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and analysis of ionising radiation source measurements in healthcare.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Analysis of applied protection from ionising radiation in the workplace.</w:t>
            </w:r>
          </w:p>
          <w:p w14:paraId="01B6923F" w14:textId="77777777" w:rsid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Analysis of Lists of Occupational Diseases</w:t>
            </w:r>
            <w:r w:rsidRPr="00B457F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Lists from the Republic of Srpska, Serbia, Montenegro, Croatia, Slovenia, North Macedonia, and key European Union countries.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Similarities and differences in the mentioned lists.</w:t>
            </w:r>
          </w:p>
          <w:p w14:paraId="5415321C" w14:textId="77777777" w:rsidR="00B457F1" w:rsidRP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Preventive Medical Examinations for Workers</w:t>
            </w:r>
          </w:p>
          <w:p w14:paraId="4C3030FE" w14:textId="77777777" w:rsid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Occupational Respiratory Diseases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cases with pneumoconiosis.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Demonstration of a set of radiographic images of different categories of pneumoconiosis: silicosis, asbestosis, and familiarising students with the International Radiographic Classification.</w:t>
            </w:r>
          </w:p>
          <w:p w14:paraId="6FD4626D" w14:textId="77777777" w:rsid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Occupational Respiratory Diseases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a case of occupational asthma and occupational chronic obstructive pulmonary disease.</w:t>
            </w:r>
          </w:p>
          <w:p w14:paraId="41D0EDDA" w14:textId="77777777" w:rsidR="00B457F1" w:rsidRPr="00B457F1" w:rsidRDefault="00B457F1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Occupational Toxicology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57F1">
              <w:rPr>
                <w:rFonts w:ascii="Arial Narrow" w:hAnsi="Arial Narrow"/>
                <w:sz w:val="20"/>
                <w:szCs w:val="20"/>
                <w:lang w:val="sr-Cyrl-CS"/>
              </w:rPr>
              <w:t>Presentation of a case of occupational poisoning by metals and pesticides.</w:t>
            </w:r>
          </w:p>
          <w:p w14:paraId="0741A096" w14:textId="77777777" w:rsidR="00AD392D" w:rsidRPr="00AD392D" w:rsidRDefault="00AD392D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Occupational Toxicology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Presentation of a case of occupational poisoning by organic solvents and gases.</w:t>
            </w:r>
          </w:p>
          <w:p w14:paraId="7BBA4C8A" w14:textId="77777777" w:rsidR="00AD392D" w:rsidRDefault="00AD392D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Occupational Skin Diseases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Seminar, simulation of a case of occupational contact dermatitis.</w:t>
            </w:r>
          </w:p>
          <w:p w14:paraId="35175739" w14:textId="77777777" w:rsidR="00AD392D" w:rsidRPr="00AD392D" w:rsidRDefault="00AD392D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Occupational Trauma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Analysis of reports on workplace injuries.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Calculation of the frequency index and severity index.</w:t>
            </w:r>
          </w:p>
          <w:p w14:paraId="5B7A00BE" w14:textId="77777777" w:rsidR="00AD392D" w:rsidRPr="00AD392D" w:rsidRDefault="00AD392D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Occupational Diseases in Healthcare Workers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Seminar – simulation of a case of viral hepatitis and chronic recurrent urticaria.</w:t>
            </w:r>
          </w:p>
          <w:p w14:paraId="727B6D76" w14:textId="77777777" w:rsidR="00234EBE" w:rsidRPr="00AD392D" w:rsidRDefault="00AD392D" w:rsidP="00AD392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Assessment of Work Capacity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Presentation of medical documentation cases with work capacity assessment.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D392D">
              <w:rPr>
                <w:rFonts w:ascii="Arial Narrow" w:hAnsi="Arial Narrow"/>
                <w:sz w:val="20"/>
                <w:szCs w:val="20"/>
                <w:lang w:val="sr-Cyrl-CS"/>
              </w:rPr>
              <w:t>Completing forms for referring insured individuals for work capacity evaluation to the Pension and Disability Insurance Fund.</w:t>
            </w:r>
          </w:p>
        </w:tc>
      </w:tr>
      <w:tr w:rsidR="000D2304" w:rsidRPr="00D954BB" w14:paraId="264F99C5" w14:textId="7777777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D9CA7" w14:textId="77777777" w:rsidR="000D2304" w:rsidRPr="00D954BB" w:rsidRDefault="00AD392D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Compulsory literature</w:t>
            </w:r>
          </w:p>
        </w:tc>
      </w:tr>
      <w:tr w:rsidR="00AD392D" w:rsidRPr="00D954BB" w14:paraId="5140C3CC" w14:textId="7777777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6CAF202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42B30F97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A69FE07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7F433B24" w14:textId="77777777" w:rsidR="00AD392D" w:rsidRPr="00AD275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0D2304" w:rsidRPr="00D954BB" w14:paraId="11F4B39E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3CA43C5B" w14:textId="2AA8689E" w:rsidR="000D2304" w:rsidRPr="00D954BB" w:rsidRDefault="000D2304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03AC4155" w14:textId="70313418" w:rsidR="000D2304" w:rsidRPr="00D954BB" w:rsidRDefault="000D2304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531E4B" w14:textId="572CE3EF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9BDD081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D954BB" w14:paraId="75D30D50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739B7B34" w14:textId="4BE2C5CD" w:rsidR="00AF0C17" w:rsidRPr="00D954BB" w:rsidRDefault="00AF0C17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59A0338A" w14:textId="77777777" w:rsidR="00B11732" w:rsidRPr="00D954BB" w:rsidRDefault="00B11732" w:rsidP="00B1173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E61749" w14:textId="19C23E75" w:rsidR="00AF0C17" w:rsidRPr="00D954BB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31849C7" w14:textId="77777777" w:rsidR="00AF0C17" w:rsidRPr="00D954BB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11732" w:rsidRPr="00D954BB" w14:paraId="082517A4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3CB2B4D7" w14:textId="77777777" w:rsidR="00B11732" w:rsidRPr="00775E8E" w:rsidRDefault="00B11732" w:rsidP="00574764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  <w:r w:rsidRPr="00775E8E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Barry S. Levy, David H. Wegman, ed.</w:t>
            </w:r>
          </w:p>
          <w:p w14:paraId="2ED082D5" w14:textId="77777777" w:rsidR="00F774EA" w:rsidRPr="00775E8E" w:rsidRDefault="00F774EA" w:rsidP="00574764">
            <w:pPr>
              <w:rPr>
                <w:rFonts w:ascii="Arial Narrow" w:hAnsi="Arial Narrow"/>
                <w:i/>
                <w:sz w:val="20"/>
                <w:szCs w:val="20"/>
                <w:lang w:val="sr-Latn-BA"/>
              </w:rPr>
            </w:pPr>
            <w:r w:rsidRPr="00775E8E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Joseph Ladou</w:t>
            </w:r>
            <w:r w:rsidR="00E42BFE" w:rsidRPr="00775E8E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 xml:space="preserve"> &amp; Robert Harrison </w:t>
            </w:r>
          </w:p>
          <w:p w14:paraId="10380058" w14:textId="77777777" w:rsidR="00F774EA" w:rsidRPr="00775E8E" w:rsidRDefault="00F774EA" w:rsidP="00574764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4F71F713" w14:textId="77777777" w:rsidR="00F774EA" w:rsidRPr="00775E8E" w:rsidRDefault="00B11732" w:rsidP="00B11732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  <w:r w:rsidRPr="00775E8E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Occupational Health, Recognizing and Preventing Work-Related Disease and Injury, Lippincott Williams&amp;Wilkins, Philadelphia 2000.</w:t>
            </w:r>
            <w:r w:rsidR="00F774EA" w:rsidRPr="00775E8E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,</w:t>
            </w:r>
          </w:p>
          <w:p w14:paraId="62207C33" w14:textId="77777777" w:rsidR="00B11732" w:rsidRPr="00775E8E" w:rsidRDefault="00E42BFE" w:rsidP="00B11732">
            <w:pPr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775E8E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Occupational  &amp; Enviromental Medicine</w:t>
            </w:r>
          </w:p>
          <w:p w14:paraId="1349AABD" w14:textId="77777777" w:rsidR="00E42BFE" w:rsidRPr="00775E8E" w:rsidRDefault="00E42BFE" w:rsidP="00B11732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  <w:r w:rsidRPr="00775E8E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McGraw Hill 2014</w:t>
            </w:r>
          </w:p>
          <w:p w14:paraId="0C27D1F4" w14:textId="77777777" w:rsidR="00F774EA" w:rsidRPr="00775E8E" w:rsidRDefault="00F774EA" w:rsidP="00B11732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</w:p>
          <w:p w14:paraId="6EAE4771" w14:textId="77777777" w:rsidR="00F774EA" w:rsidRPr="00775E8E" w:rsidRDefault="00F774EA" w:rsidP="00B11732">
            <w:pPr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F7B708" w14:textId="77777777"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2000</w:t>
            </w:r>
          </w:p>
          <w:p w14:paraId="703586D8" w14:textId="77777777"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14:paraId="5082FD9C" w14:textId="77777777" w:rsidR="00B11732" w:rsidRPr="00D954BB" w:rsidRDefault="00E42BFE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C482E4D" w14:textId="77777777"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954BB" w14:paraId="733A625B" w14:textId="77777777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14:paraId="1208B5FD" w14:textId="77777777" w:rsidR="000D2304" w:rsidRPr="00D954BB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lastRenderedPageBreak/>
              <w:t>Additional literature</w:t>
            </w:r>
          </w:p>
        </w:tc>
      </w:tr>
      <w:tr w:rsidR="00AD392D" w:rsidRPr="00D954BB" w14:paraId="327834E7" w14:textId="7777777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1DC26C9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h</w:t>
            </w:r>
            <w:r w:rsidRPr="00DF4235">
              <w:rPr>
                <w:rFonts w:ascii="Arial Narrow" w:hAnsi="Arial Narrow" w:cs="Times New Roman"/>
                <w:b/>
                <w:sz w:val="20"/>
                <w:szCs w:val="20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15C8ABE3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E76E627" w14:textId="77777777" w:rsidR="00AD392D" w:rsidRPr="00DF423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426832F8" w14:textId="77777777" w:rsidR="00AD392D" w:rsidRPr="00AD2755" w:rsidRDefault="00AD392D" w:rsidP="00AD392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Pages (from-to)</w:t>
            </w:r>
          </w:p>
        </w:tc>
      </w:tr>
      <w:tr w:rsidR="000D2304" w:rsidRPr="00D954BB" w14:paraId="0CF24D92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48924F78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2FFF885C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91EFC1F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34BB3523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954BB" w14:paraId="00175470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469682F3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172A84DD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37CAEE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870F296" w14:textId="77777777"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D392D" w:rsidRPr="00D954BB" w14:paraId="66E459B3" w14:textId="77777777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A0F0E67" w14:textId="77777777" w:rsidR="00AD392D" w:rsidRPr="00D954BB" w:rsidRDefault="00AD392D" w:rsidP="00AD392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Student responsibilities, 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14:paraId="4EA8445C" w14:textId="77777777" w:rsidR="00AD392D" w:rsidRPr="00EB68DD" w:rsidRDefault="00AD392D" w:rsidP="00AD392D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Grading policy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14:paraId="285354BC" w14:textId="77777777" w:rsidR="00AD392D" w:rsidRPr="00C7010C" w:rsidRDefault="00AD392D" w:rsidP="00AD392D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Points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1FE6735C" w14:textId="77777777" w:rsidR="00AD392D" w:rsidRPr="00C7010C" w:rsidRDefault="00AD392D" w:rsidP="00AD392D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Percentage</w:t>
            </w:r>
          </w:p>
        </w:tc>
      </w:tr>
      <w:tr w:rsidR="000D2304" w:rsidRPr="00D954BB" w14:paraId="2BFF6A19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1521A97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25D308A5" w14:textId="77777777" w:rsidR="000D2304" w:rsidRPr="00D954BB" w:rsidRDefault="00AD392D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Pre-exam activities</w:t>
            </w:r>
          </w:p>
        </w:tc>
      </w:tr>
      <w:tr w:rsidR="000D2304" w:rsidRPr="00D954BB" w14:paraId="652BFB63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09617DA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191DC6B6" w14:textId="77777777" w:rsidR="000D2304" w:rsidRPr="00D954BB" w:rsidRDefault="00AD392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lecture/exercise attendance</w:t>
            </w:r>
          </w:p>
        </w:tc>
        <w:tc>
          <w:tcPr>
            <w:tcW w:w="900" w:type="dxa"/>
            <w:gridSpan w:val="3"/>
            <w:vAlign w:val="center"/>
          </w:tcPr>
          <w:p w14:paraId="265CF6A8" w14:textId="77777777"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86426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14:paraId="576F5565" w14:textId="77777777"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954BB" w14:paraId="07F6A672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357F881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40E54A26" w14:textId="77777777" w:rsidR="000D2304" w:rsidRPr="00D954BB" w:rsidRDefault="00AD392D" w:rsidP="00D17F4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seminar paper</w:t>
            </w:r>
          </w:p>
        </w:tc>
        <w:tc>
          <w:tcPr>
            <w:tcW w:w="900" w:type="dxa"/>
            <w:gridSpan w:val="3"/>
            <w:vAlign w:val="center"/>
          </w:tcPr>
          <w:p w14:paraId="375A731D" w14:textId="77777777"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14:paraId="23FEFB2D" w14:textId="77777777"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954BB" w14:paraId="73296653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C5C26A1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16429F58" w14:textId="77777777" w:rsidR="000D2304" w:rsidRPr="00D954BB" w:rsidRDefault="00AD392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</w:rPr>
              <w:t>colloquium</w:t>
            </w:r>
          </w:p>
        </w:tc>
        <w:tc>
          <w:tcPr>
            <w:tcW w:w="900" w:type="dxa"/>
            <w:gridSpan w:val="3"/>
            <w:vAlign w:val="center"/>
          </w:tcPr>
          <w:p w14:paraId="14E7B6EF" w14:textId="77777777"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14:paraId="186198A3" w14:textId="77777777"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D954BB" w14:paraId="216A43F6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6477870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4EE424F2" w14:textId="77777777" w:rsidR="000D2304" w:rsidRPr="00AD392D" w:rsidRDefault="00AD392D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exam</w:t>
            </w:r>
          </w:p>
        </w:tc>
      </w:tr>
      <w:tr w:rsidR="000D2304" w:rsidRPr="00D954BB" w14:paraId="547542F2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4BE0B5D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09C69DD8" w14:textId="77777777" w:rsidR="000D2304" w:rsidRPr="00D954BB" w:rsidRDefault="00B554D8" w:rsidP="00B554D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AD392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written</w:t>
            </w:r>
          </w:p>
        </w:tc>
        <w:tc>
          <w:tcPr>
            <w:tcW w:w="900" w:type="dxa"/>
            <w:gridSpan w:val="3"/>
            <w:vAlign w:val="center"/>
          </w:tcPr>
          <w:p w14:paraId="23A21DA5" w14:textId="77777777"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14:paraId="1D5802EF" w14:textId="77777777"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D954BB" w14:paraId="15C1627E" w14:textId="77777777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619A1" w14:textId="77777777"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14:paraId="6661F58D" w14:textId="77777777" w:rsidR="000D2304" w:rsidRPr="00AD392D" w:rsidRDefault="00AD392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TOTAL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14:paraId="571607AD" w14:textId="77777777"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14:paraId="03314F71" w14:textId="77777777"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D954BB" w14:paraId="5E0F0A9C" w14:textId="77777777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6EC3758" w14:textId="77777777" w:rsidR="000D2304" w:rsidRPr="00D954BB" w:rsidRDefault="00AD392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14:paraId="1F1404F6" w14:textId="24BA127A" w:rsidR="000D2304" w:rsidRPr="00860B77" w:rsidRDefault="00860B7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December 2024.</w:t>
            </w:r>
          </w:p>
        </w:tc>
      </w:tr>
    </w:tbl>
    <w:p w14:paraId="0216FA30" w14:textId="77777777" w:rsidR="00BB3616" w:rsidRPr="00D954BB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688AC0C" w14:textId="77777777" w:rsidR="00B36B65" w:rsidRPr="00D954BB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D954B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31615" w14:textId="77777777" w:rsidR="00CD6719" w:rsidRDefault="00CD6719" w:rsidP="00662C2A">
      <w:pPr>
        <w:spacing w:after="0" w:line="240" w:lineRule="auto"/>
      </w:pPr>
      <w:r>
        <w:separator/>
      </w:r>
    </w:p>
  </w:endnote>
  <w:endnote w:type="continuationSeparator" w:id="0">
    <w:p w14:paraId="2CE654BB" w14:textId="77777777" w:rsidR="00CD6719" w:rsidRDefault="00CD671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BED26" w14:textId="77777777" w:rsidR="00A05E6A" w:rsidRDefault="00A05E6A">
    <w:pPr>
      <w:pStyle w:val="Footer"/>
      <w:jc w:val="right"/>
    </w:pPr>
  </w:p>
  <w:p w14:paraId="59659F9F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93D81" w14:textId="77777777" w:rsidR="00CD6719" w:rsidRDefault="00CD6719" w:rsidP="00662C2A">
      <w:pPr>
        <w:spacing w:after="0" w:line="240" w:lineRule="auto"/>
      </w:pPr>
      <w:r>
        <w:separator/>
      </w:r>
    </w:p>
  </w:footnote>
  <w:footnote w:type="continuationSeparator" w:id="0">
    <w:p w14:paraId="12307690" w14:textId="77777777" w:rsidR="00CD6719" w:rsidRDefault="00CD6719" w:rsidP="00662C2A">
      <w:pPr>
        <w:spacing w:after="0" w:line="240" w:lineRule="auto"/>
      </w:pPr>
      <w:r>
        <w:continuationSeparator/>
      </w:r>
    </w:p>
  </w:footnote>
  <w:footnote w:id="1">
    <w:p w14:paraId="10D05D3E" w14:textId="77777777" w:rsidR="00234EBE" w:rsidRDefault="00234EBE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2495BEAF" w14:textId="77777777" w:rsidR="00234EBE" w:rsidRDefault="00234EBE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1FC10B08" w14:textId="77777777" w:rsidR="00234EBE" w:rsidRDefault="00234EBE" w:rsidP="0029391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4BD0E203" w14:textId="77777777" w:rsidR="00234EBE" w:rsidRDefault="00234EBE" w:rsidP="0029391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F2027"/>
    <w:multiLevelType w:val="hybridMultilevel"/>
    <w:tmpl w:val="73946418"/>
    <w:lvl w:ilvl="0" w:tplc="9E48A214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B2E47"/>
    <w:multiLevelType w:val="hybridMultilevel"/>
    <w:tmpl w:val="1038A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B494E"/>
    <w:multiLevelType w:val="hybridMultilevel"/>
    <w:tmpl w:val="0E1EC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D6104"/>
    <w:multiLevelType w:val="hybridMultilevel"/>
    <w:tmpl w:val="2136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642EA"/>
    <w:multiLevelType w:val="hybridMultilevel"/>
    <w:tmpl w:val="A9F0D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56C47"/>
    <w:multiLevelType w:val="hybridMultilevel"/>
    <w:tmpl w:val="CDE66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7"/>
  </w:num>
  <w:num w:numId="5">
    <w:abstractNumId w:val="13"/>
  </w:num>
  <w:num w:numId="6">
    <w:abstractNumId w:val="5"/>
  </w:num>
  <w:num w:numId="7">
    <w:abstractNumId w:val="1"/>
  </w:num>
  <w:num w:numId="8">
    <w:abstractNumId w:val="14"/>
  </w:num>
  <w:num w:numId="9">
    <w:abstractNumId w:val="8"/>
  </w:num>
  <w:num w:numId="10">
    <w:abstractNumId w:val="12"/>
  </w:num>
  <w:num w:numId="11">
    <w:abstractNumId w:val="9"/>
  </w:num>
  <w:num w:numId="12">
    <w:abstractNumId w:val="2"/>
  </w:num>
  <w:num w:numId="13">
    <w:abstractNumId w:val="6"/>
  </w:num>
  <w:num w:numId="14">
    <w:abstractNumId w:val="11"/>
  </w:num>
  <w:num w:numId="1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A78"/>
    <w:rsid w:val="00005E54"/>
    <w:rsid w:val="000141CA"/>
    <w:rsid w:val="00034ACD"/>
    <w:rsid w:val="00045978"/>
    <w:rsid w:val="00047C62"/>
    <w:rsid w:val="000524E9"/>
    <w:rsid w:val="00060A17"/>
    <w:rsid w:val="00073BE8"/>
    <w:rsid w:val="00094DC5"/>
    <w:rsid w:val="000C20EE"/>
    <w:rsid w:val="000C4C55"/>
    <w:rsid w:val="000D2304"/>
    <w:rsid w:val="000D459E"/>
    <w:rsid w:val="000E6CA4"/>
    <w:rsid w:val="000E74CF"/>
    <w:rsid w:val="000F33AB"/>
    <w:rsid w:val="000F33ED"/>
    <w:rsid w:val="001274EB"/>
    <w:rsid w:val="00142472"/>
    <w:rsid w:val="001911C6"/>
    <w:rsid w:val="00191E6E"/>
    <w:rsid w:val="001B6A8D"/>
    <w:rsid w:val="001B759D"/>
    <w:rsid w:val="001D19B1"/>
    <w:rsid w:val="001D4D3F"/>
    <w:rsid w:val="001E27BB"/>
    <w:rsid w:val="002218CA"/>
    <w:rsid w:val="00234EBE"/>
    <w:rsid w:val="00246DAF"/>
    <w:rsid w:val="00247E08"/>
    <w:rsid w:val="00250F98"/>
    <w:rsid w:val="0026772A"/>
    <w:rsid w:val="00282E3C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D1274"/>
    <w:rsid w:val="00405A21"/>
    <w:rsid w:val="00406369"/>
    <w:rsid w:val="00412CA7"/>
    <w:rsid w:val="004141FB"/>
    <w:rsid w:val="00416270"/>
    <w:rsid w:val="00421F85"/>
    <w:rsid w:val="0043206D"/>
    <w:rsid w:val="00446201"/>
    <w:rsid w:val="00455D27"/>
    <w:rsid w:val="004866A1"/>
    <w:rsid w:val="004C23C6"/>
    <w:rsid w:val="004C736E"/>
    <w:rsid w:val="004D0D3D"/>
    <w:rsid w:val="004D258B"/>
    <w:rsid w:val="004D494F"/>
    <w:rsid w:val="004F0E4B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11ADA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4138"/>
    <w:rsid w:val="006E6B71"/>
    <w:rsid w:val="006F0D88"/>
    <w:rsid w:val="006F2738"/>
    <w:rsid w:val="00705F99"/>
    <w:rsid w:val="00707181"/>
    <w:rsid w:val="007120D0"/>
    <w:rsid w:val="0071360D"/>
    <w:rsid w:val="007148B8"/>
    <w:rsid w:val="0071623A"/>
    <w:rsid w:val="00720EA3"/>
    <w:rsid w:val="00721FED"/>
    <w:rsid w:val="00722BE2"/>
    <w:rsid w:val="00730C67"/>
    <w:rsid w:val="00741E90"/>
    <w:rsid w:val="00746E99"/>
    <w:rsid w:val="00752354"/>
    <w:rsid w:val="00760D25"/>
    <w:rsid w:val="00775E8E"/>
    <w:rsid w:val="00786426"/>
    <w:rsid w:val="007A2356"/>
    <w:rsid w:val="007A7335"/>
    <w:rsid w:val="007B6A16"/>
    <w:rsid w:val="007D4D9B"/>
    <w:rsid w:val="007E3BE3"/>
    <w:rsid w:val="00817290"/>
    <w:rsid w:val="008324B7"/>
    <w:rsid w:val="00834BB9"/>
    <w:rsid w:val="00843C8A"/>
    <w:rsid w:val="00860B77"/>
    <w:rsid w:val="00874F45"/>
    <w:rsid w:val="00883110"/>
    <w:rsid w:val="008A5AAE"/>
    <w:rsid w:val="008C2294"/>
    <w:rsid w:val="008D5263"/>
    <w:rsid w:val="008E6F9C"/>
    <w:rsid w:val="008F54FF"/>
    <w:rsid w:val="00900413"/>
    <w:rsid w:val="00913A4A"/>
    <w:rsid w:val="00953D0B"/>
    <w:rsid w:val="00953E9E"/>
    <w:rsid w:val="00961BF9"/>
    <w:rsid w:val="0096361D"/>
    <w:rsid w:val="00964A76"/>
    <w:rsid w:val="0098691F"/>
    <w:rsid w:val="009A4279"/>
    <w:rsid w:val="009C12A9"/>
    <w:rsid w:val="009C28B7"/>
    <w:rsid w:val="009C3E68"/>
    <w:rsid w:val="009C6099"/>
    <w:rsid w:val="009F0C66"/>
    <w:rsid w:val="009F6FCB"/>
    <w:rsid w:val="00A05E6A"/>
    <w:rsid w:val="00A104C0"/>
    <w:rsid w:val="00A255BB"/>
    <w:rsid w:val="00A4197B"/>
    <w:rsid w:val="00A45AB1"/>
    <w:rsid w:val="00A62FD1"/>
    <w:rsid w:val="00A6669B"/>
    <w:rsid w:val="00A74A53"/>
    <w:rsid w:val="00A74EA1"/>
    <w:rsid w:val="00A8476B"/>
    <w:rsid w:val="00A8544E"/>
    <w:rsid w:val="00A96387"/>
    <w:rsid w:val="00AB0DC9"/>
    <w:rsid w:val="00AC1498"/>
    <w:rsid w:val="00AD392D"/>
    <w:rsid w:val="00AD6782"/>
    <w:rsid w:val="00AF0C17"/>
    <w:rsid w:val="00AF5094"/>
    <w:rsid w:val="00AF6F4F"/>
    <w:rsid w:val="00B0165B"/>
    <w:rsid w:val="00B11732"/>
    <w:rsid w:val="00B252F0"/>
    <w:rsid w:val="00B27FCB"/>
    <w:rsid w:val="00B36B65"/>
    <w:rsid w:val="00B41027"/>
    <w:rsid w:val="00B457F1"/>
    <w:rsid w:val="00B554D8"/>
    <w:rsid w:val="00B62052"/>
    <w:rsid w:val="00B72BE6"/>
    <w:rsid w:val="00B732CF"/>
    <w:rsid w:val="00B73D94"/>
    <w:rsid w:val="00B76E3B"/>
    <w:rsid w:val="00B827AD"/>
    <w:rsid w:val="00B91E28"/>
    <w:rsid w:val="00B93FA8"/>
    <w:rsid w:val="00B94753"/>
    <w:rsid w:val="00BB2BD2"/>
    <w:rsid w:val="00BB3616"/>
    <w:rsid w:val="00BB5331"/>
    <w:rsid w:val="00BC0C4B"/>
    <w:rsid w:val="00BC74B2"/>
    <w:rsid w:val="00BD32B2"/>
    <w:rsid w:val="00BE02EF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159"/>
    <w:rsid w:val="00CC7446"/>
    <w:rsid w:val="00CD1242"/>
    <w:rsid w:val="00CD6719"/>
    <w:rsid w:val="00CE1458"/>
    <w:rsid w:val="00D17B05"/>
    <w:rsid w:val="00D17F45"/>
    <w:rsid w:val="00D3065D"/>
    <w:rsid w:val="00D4285C"/>
    <w:rsid w:val="00D86FF0"/>
    <w:rsid w:val="00D93B3E"/>
    <w:rsid w:val="00D954BB"/>
    <w:rsid w:val="00D97575"/>
    <w:rsid w:val="00DB07A5"/>
    <w:rsid w:val="00DC452B"/>
    <w:rsid w:val="00DF29EF"/>
    <w:rsid w:val="00E06E89"/>
    <w:rsid w:val="00E11A19"/>
    <w:rsid w:val="00E13E36"/>
    <w:rsid w:val="00E21E6F"/>
    <w:rsid w:val="00E36128"/>
    <w:rsid w:val="00E40E64"/>
    <w:rsid w:val="00E42BFE"/>
    <w:rsid w:val="00E43CBF"/>
    <w:rsid w:val="00E50261"/>
    <w:rsid w:val="00E54B7A"/>
    <w:rsid w:val="00E579B5"/>
    <w:rsid w:val="00E60E88"/>
    <w:rsid w:val="00E72E4F"/>
    <w:rsid w:val="00E77298"/>
    <w:rsid w:val="00E8138B"/>
    <w:rsid w:val="00ED59F8"/>
    <w:rsid w:val="00EE3D08"/>
    <w:rsid w:val="00EE6945"/>
    <w:rsid w:val="00EF0A0B"/>
    <w:rsid w:val="00F17105"/>
    <w:rsid w:val="00F63E8C"/>
    <w:rsid w:val="00F656A6"/>
    <w:rsid w:val="00F72204"/>
    <w:rsid w:val="00F75EA2"/>
    <w:rsid w:val="00F774EA"/>
    <w:rsid w:val="00F829D2"/>
    <w:rsid w:val="00FA5B33"/>
    <w:rsid w:val="00FB03B8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22D64"/>
  <w15:docId w15:val="{1C8F48A7-BEAB-45A8-815F-1EDDF571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EE451A3-C2C9-4887-83EA-8AD1C1DA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2024-12-03T20:32:00Z</dcterms:created>
  <dcterms:modified xsi:type="dcterms:W3CDTF">2024-12-09T10:05:00Z</dcterms:modified>
</cp:coreProperties>
</file>